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cs="Arial"/>
          <w:b/>
          <w:bCs/>
          <w:sz w:val="28"/>
          <w:szCs w:val="28"/>
        </w:rPr>
      </w:pPr>
      <w:bookmarkStart w:id="0" w:name="OLE_LINK2"/>
      <w:r>
        <w:rPr>
          <w:rFonts w:ascii="Arial" w:hAnsi="Arial" w:cs="Arial"/>
          <w:b/>
          <w:bCs/>
          <w:sz w:val="28"/>
          <w:szCs w:val="28"/>
        </w:rPr>
        <w:t>Label and Radiation-free CEST MRI detection of Amyloid: Repurposing of the Pi</w:t>
      </w:r>
      <w:r>
        <w:rPr>
          <w:rFonts w:hint="eastAsia" w:ascii="Arial" w:hAnsi="Arial" w:eastAsia="宋体" w:cs="Arial"/>
          <w:b/>
          <w:bCs/>
          <w:sz w:val="28"/>
          <w:szCs w:val="28"/>
          <w:lang w:val="en-US" w:eastAsia="zh-CN"/>
        </w:rPr>
        <w:t>B</w:t>
      </w:r>
      <w:r>
        <w:rPr>
          <w:rFonts w:ascii="Arial" w:hAnsi="Arial" w:cs="Arial"/>
          <w:b/>
          <w:bCs/>
          <w:sz w:val="28"/>
          <w:szCs w:val="28"/>
        </w:rPr>
        <w:t xml:space="preserve"> PET Probe</w:t>
      </w:r>
      <w:bookmarkEnd w:id="0"/>
    </w:p>
    <w:p>
      <w:pPr>
        <w:pStyle w:val="5"/>
        <w:rPr>
          <w:rFonts w:ascii="Arial"/>
        </w:rPr>
      </w:pPr>
      <w:r>
        <w:rPr>
          <w:rFonts w:hint="eastAsia" w:ascii="Arial"/>
        </w:rPr>
        <w:t>Caiyu Zhuang, MD, Shantou University Medical College, China</w:t>
      </w:r>
    </w:p>
    <w:p>
      <w:pPr>
        <w:pStyle w:val="5"/>
        <w:rPr>
          <w:rFonts w:ascii="Arial"/>
        </w:rPr>
      </w:pPr>
      <w:r>
        <w:rPr>
          <w:rFonts w:hint="eastAsia" w:ascii="Arial"/>
        </w:rPr>
        <w:t>Beibei Chen,</w:t>
      </w:r>
      <w:r>
        <w:rPr>
          <w:rFonts w:ascii="Arial"/>
        </w:rPr>
        <w:t xml:space="preserve"> Master, </w:t>
      </w:r>
      <w:r>
        <w:rPr>
          <w:rFonts w:hint="eastAsia" w:ascii="Arial"/>
        </w:rPr>
        <w:t>Shantou University Medical College, China</w:t>
      </w:r>
    </w:p>
    <w:p>
      <w:pPr>
        <w:pStyle w:val="5"/>
        <w:rPr>
          <w:rFonts w:ascii="Arial"/>
        </w:rPr>
      </w:pPr>
      <w:r>
        <w:rPr>
          <w:rFonts w:hint="eastAsia" w:ascii="Arial"/>
        </w:rPr>
        <w:t>Renhua Wu, Professor, Shantou University Medical College,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pPr>
      <w:r>
        <w:t>Statement of the Problem: The compound Pi</w:t>
      </w:r>
      <w:r>
        <w:rPr>
          <w:rFonts w:hint="eastAsia" w:eastAsia="宋体"/>
          <w:lang w:val="en-US" w:eastAsia="zh-CN"/>
        </w:rPr>
        <w:t>B</w:t>
      </w:r>
      <w:r>
        <w:t xml:space="preserve"> has been radio-labeled for PET imaging of amyloid, which is critical in the detection of amyloid and enables early diagnosis of dementia. This study aims to repurpose Pi</w:t>
      </w:r>
      <w:r>
        <w:rPr>
          <w:rFonts w:hint="eastAsia" w:eastAsia="宋体"/>
          <w:lang w:val="en-US" w:eastAsia="zh-CN"/>
        </w:rPr>
        <w:t>B</w:t>
      </w:r>
      <w:r>
        <w:t xml:space="preserve"> for label and radiation-free CEST MRI imaging, which would be promising in clinical transformation. Methodology &amp; Theoretical Orientation: Pi</w:t>
      </w:r>
      <w:r>
        <w:rPr>
          <w:rFonts w:hint="eastAsia" w:eastAsia="宋体"/>
          <w:lang w:val="en-US" w:eastAsia="zh-CN"/>
        </w:rPr>
        <w:t>B</w:t>
      </w:r>
      <w:r>
        <w:t xml:space="preserve"> solutions at different concentrations were prepared for the Z-spectra measurements. After optimizing parameters by preliminary experiments, APP/PS1 transgenic mice(n=6) and age-matched C57 mice(n=6) were used for in vivo CEST MRI imaging of amyloid on a 7.0 T MRI scanner. The brains were scanned dynamically after intraperitoneal injection of Pi</w:t>
      </w:r>
      <w:r>
        <w:rPr>
          <w:rFonts w:hint="eastAsia" w:eastAsia="宋体"/>
          <w:lang w:val="en-US" w:eastAsia="zh-CN"/>
        </w:rPr>
        <w:t>B</w:t>
      </w:r>
      <w:r>
        <w:t xml:space="preserve">. Finally, the pathological assessment was conducted in the same brain slices to evaluate the correlation between the MRI signal abnormality and the deposition of beta-amyloid detected by </w:t>
      </w:r>
      <w:bookmarkStart w:id="1" w:name="OLE_LINK1"/>
      <w:r>
        <w:t>immunohistochemical staining</w:t>
      </w:r>
      <w:bookmarkEnd w:id="1"/>
      <w:r>
        <w:t>. Findings: The Z spectra reveal</w:t>
      </w:r>
      <w:r>
        <w:rPr>
          <w:rFonts w:hint="eastAsia"/>
          <w:lang w:eastAsia="zh-CN"/>
        </w:rPr>
        <w:t>ed</w:t>
      </w:r>
      <w:r>
        <w:t xml:space="preserve"> a clear CEST effect peaked at approximately 6 ppm, which could be distinguished from the inherent amide proton transfer and magnetization transfer when applied to in vivo CEST MRI imaging. APP/PS1 mice injected with Pi</w:t>
      </w:r>
      <w:r>
        <w:rPr>
          <w:rFonts w:hint="eastAsia" w:eastAsia="宋体"/>
          <w:lang w:val="en-US" w:eastAsia="zh-CN"/>
        </w:rPr>
        <w:t>B</w:t>
      </w:r>
      <w:r>
        <w:t xml:space="preserve"> showed a significantly higher in vivo CEST effect when compared with controls</w:t>
      </w:r>
      <w:r>
        <w:rPr>
          <w:rFonts w:hint="eastAsia"/>
          <w:lang w:eastAsia="zh-CN"/>
        </w:rPr>
        <w:t xml:space="preserve"> and before injections</w:t>
      </w:r>
      <w:r>
        <w:t xml:space="preserve"> （p&lt;0.05）. The distribution of Aβ deposits detected by CEST imaging was consistent with the immunohistochemical staining results. Conclusion &amp; Significance: The present study is the first to repurpose a PET probe to noninvasively evaluate Aβ deposits in APP/PS1 mice. Repurposing of the Pi</w:t>
      </w:r>
      <w:r>
        <w:rPr>
          <w:rFonts w:hint="eastAsia" w:eastAsia="宋体"/>
          <w:lang w:val="en-US" w:eastAsia="zh-CN"/>
        </w:rPr>
        <w:t>B</w:t>
      </w:r>
      <w:bookmarkStart w:id="3" w:name="_GoBack"/>
      <w:bookmarkEnd w:id="3"/>
      <w:r>
        <w:t xml:space="preserve"> PET Probe for CEST MRI imaging enables label and radiation-free detection of amyloid and has potential in clinical transformation, especially in the early detection of dementia.</w:t>
      </w:r>
    </w:p>
    <w:p>
      <w:pPr>
        <w:pStyle w:val="4"/>
        <w:spacing w:before="74"/>
      </w:pPr>
      <w:r>
        <w:rPr>
          <w:b w:val="0"/>
        </w:rPr>
        <w:br w:type="column"/>
      </w:r>
      <w:r>
        <w:rPr>
          <w:color w:val="BF5A14"/>
        </w:rPr>
        <w:t>Image</w:t>
      </w:r>
    </w:p>
    <w:p>
      <w:pPr>
        <w:pStyle w:val="5"/>
        <w:spacing w:before="2"/>
        <w:rPr>
          <w:rFonts w:ascii="Arial"/>
          <w:b/>
          <w:sz w:val="16"/>
        </w:rPr>
      </w:pPr>
      <w:r>
        <w:rPr>
          <w:rFonts w:ascii="Arial"/>
          <w:b/>
          <w:sz w:val="16"/>
        </w:rPr>
        <w:drawing>
          <wp:inline distT="0" distB="0" distL="0" distR="0">
            <wp:extent cx="3165475" cy="24961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165475" cy="2496185"/>
                    </a:xfrm>
                    <a:prstGeom prst="rect">
                      <a:avLst/>
                    </a:prstGeom>
                  </pic:spPr>
                </pic:pic>
              </a:graphicData>
            </a:graphic>
          </wp:inline>
        </w:drawing>
      </w: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tabs>
          <w:tab w:val="left" w:pos="384"/>
        </w:tabs>
        <w:ind w:right="117"/>
        <w:rPr>
          <w:rFonts w:ascii="Calibri" w:hAnsi="Calibri" w:eastAsia="Calibri" w:cs="Calibri"/>
          <w:sz w:val="15"/>
          <w:szCs w:val="15"/>
        </w:rPr>
      </w:pPr>
      <w:r>
        <w:rPr>
          <w:rFonts w:ascii="Calibri" w:hAnsi="Calibri" w:eastAsia="Calibri" w:cs="Calibri"/>
          <w:sz w:val="15"/>
          <w:szCs w:val="15"/>
        </w:rPr>
        <w:t>MATHIS, C. A., BACSKAI BJ FAU - KAJDASZ, S. T., KAJDASZ ST FAU - MCLELLAN, M. E., MCLELLAN ME FAU - FROSCH, M. P., FROSCH MP FAU - HYMAN, B. T., HYMAN BT FAU - HOLT, D. P., HOLT DP FAU - WANG, Y., WANG Y FAU - HUANG, G.-F., HUANG GF FAU - DEBNATH, M. L., DEBNATH ML FAU - KLUNK, W. E. &amp; KLUNK, W. E. 2002. A lipophilic thioflavin-T derivative for positron emission tomography (PET) imaging of amyloid in brain. Bioorg Med Chem Lett.</w:t>
      </w:r>
    </w:p>
    <w:p>
      <w:pPr>
        <w:tabs>
          <w:tab w:val="left" w:pos="384"/>
        </w:tabs>
        <w:ind w:right="117"/>
        <w:rPr>
          <w:rFonts w:ascii="Calibri" w:hAnsi="Calibri" w:eastAsia="Calibri" w:cs="Calibri"/>
          <w:sz w:val="15"/>
          <w:szCs w:val="15"/>
        </w:rPr>
      </w:pPr>
      <w:r>
        <w:rPr>
          <w:rFonts w:ascii="Calibri" w:hAnsi="Calibri" w:eastAsia="Calibri" w:cs="Calibri"/>
          <w:sz w:val="15"/>
          <w:szCs w:val="15"/>
        </w:rPr>
        <w:t>SUN, P. Z., LONGO, D. L., HU, W., XIAO, G. &amp; WU, R. 2014. Quantification of iopamidol multi-site chemical exchange properties for ratiometric chemical exchange saturation transfer (CEST) imaging of pH. Phys Med Biol, 59, 4493-504.</w:t>
      </w:r>
    </w:p>
    <w:p>
      <w:pPr>
        <w:tabs>
          <w:tab w:val="left" w:pos="384"/>
        </w:tabs>
        <w:ind w:right="117"/>
        <w:rPr>
          <w:rFonts w:ascii="Calibri" w:hAnsi="Calibri" w:eastAsia="Calibri" w:cs="Calibri"/>
          <w:sz w:val="15"/>
          <w:szCs w:val="15"/>
        </w:rPr>
      </w:pPr>
      <w:r>
        <w:rPr>
          <w:rFonts w:ascii="Calibri" w:hAnsi="Calibri" w:eastAsia="Calibri" w:cs="Calibri"/>
          <w:sz w:val="15"/>
          <w:szCs w:val="15"/>
        </w:rPr>
        <w:t>WANG, R., WANG, C., DAI, Z., CHEN, Y., SHEN, Z., XIAO, G., CHEN, Y., ZHOU, J. N., ZHUANG, Z. &amp; WU, R. 2019. An Amyloid-beta Targeting Chemical Exchange Saturation Transfer Probe for In Vivo Detection of Alzheimer's Disease. ACS Chem Neurosci, 10, 3859-3867.</w:t>
      </w:r>
    </w:p>
    <w:p>
      <w:pPr>
        <w:tabs>
          <w:tab w:val="left" w:pos="384"/>
        </w:tabs>
        <w:ind w:right="117"/>
        <w:rPr>
          <w:rFonts w:ascii="Calibri" w:hAnsi="Calibri" w:eastAsia="Calibri" w:cs="Calibri"/>
          <w:sz w:val="15"/>
          <w:szCs w:val="15"/>
        </w:rPr>
      </w:pPr>
      <w:r>
        <w:rPr>
          <w:rFonts w:ascii="Calibri" w:hAnsi="Calibri" w:eastAsia="Calibri" w:cs="Calibri"/>
          <w:sz w:val="15"/>
          <w:szCs w:val="15"/>
        </w:rPr>
        <w:t>WU, R., LONGO DL FAU - AIME, S., AIME S FAU - SUN, P. Z. &amp; SUN, P. Z. 2015. Quantitative description of radiofrequency (RF) power-based ratiometric chemical exchange saturation transfer (CEST) pH imaging. NMR in biomedicine.</w:t>
      </w:r>
    </w:p>
    <w:p>
      <w:pPr>
        <w:tabs>
          <w:tab w:val="left" w:pos="384"/>
        </w:tabs>
        <w:ind w:right="117"/>
        <w:rPr>
          <w:sz w:val="15"/>
          <w:szCs w:val="15"/>
        </w:rPr>
      </w:pPr>
      <w:r>
        <w:rPr>
          <w:rFonts w:ascii="Calibri" w:hAnsi="Calibri" w:eastAsia="Calibri" w:cs="Calibri"/>
          <w:sz w:val="15"/>
          <w:szCs w:val="15"/>
        </w:rPr>
        <w:t>YAMIN, G. &amp; TEPLOW, D. B. 2017. Pittsburgh Compound-B (PiB) binds amyloid β-protein protofibrils. Journal of Neurochemistry.</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jc w:val="both"/>
      </w:pPr>
      <w:r>
        <w:t xml:space="preserve">              </w:t>
      </w:r>
      <w:r>
        <w:rPr>
          <w:lang w:val="en-IN" w:eastAsia="en-IN"/>
        </w:rPr>
        <w:drawing>
          <wp:inline distT="0" distB="0" distL="0" distR="0">
            <wp:extent cx="753110" cy="621665"/>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57436" cy="625069"/>
                    </a:xfrm>
                    <a:prstGeom prst="rect">
                      <a:avLst/>
                    </a:prstGeom>
                    <a:noFill/>
                    <a:ln>
                      <a:noFill/>
                    </a:ln>
                  </pic:spPr>
                </pic:pic>
              </a:graphicData>
            </a:graphic>
          </wp:inline>
        </w:drawing>
      </w:r>
      <w:r>
        <w:t xml:space="preserve"> </w:t>
      </w:r>
    </w:p>
    <w:p>
      <w:pPr>
        <w:spacing w:before="92"/>
        <w:ind w:right="4234"/>
        <w:rPr>
          <w:rFonts w:ascii="Arial"/>
        </w:rPr>
      </w:pPr>
      <w:r>
        <w:t xml:space="preserve">    </w:t>
      </w:r>
      <w:r>
        <w:rPr>
          <w:rFonts w:ascii="Arial"/>
          <w:color w:val="BF5A14"/>
        </w:rPr>
        <w:t>Biography (150 word limit)</w:t>
      </w:r>
    </w:p>
    <w:p>
      <w:pPr>
        <w:spacing w:before="41" w:line="154" w:lineRule="exact"/>
        <w:ind w:left="213" w:right="231"/>
        <w:jc w:val="both"/>
        <w:rPr>
          <w:rFonts w:ascii="Arial"/>
          <w:sz w:val="14"/>
        </w:rPr>
      </w:pPr>
      <w:bookmarkStart w:id="2" w:name="OLE_LINK3"/>
      <w:r>
        <w:rPr>
          <w:rFonts w:ascii="Arial"/>
          <w:sz w:val="14"/>
        </w:rPr>
        <w:t>Caiyu Zhuang is a PhD candidate for neuroimaging. She is interested in chemical exchange saturation transfer (CEST) MRI, a molecular imaging technique sensitive in detecting in vivo metabolites or probes. She has explored the feasibility of using this technique to detect amyloid deposition in Alzheimer’s disease and also evaluated the efficacy of nanomedicine in treating glioma.</w:t>
      </w:r>
      <w:bookmarkEnd w:id="2"/>
    </w:p>
    <w:p>
      <w:pPr>
        <w:spacing w:before="62"/>
        <w:ind w:left="4217" w:right="4235"/>
        <w:jc w:val="center"/>
        <w:rPr>
          <w:rFonts w:ascii="Arial"/>
          <w:sz w:val="14"/>
        </w:rPr>
      </w:pPr>
      <w:r>
        <w:rPr>
          <w:rFonts w:ascii="Arial"/>
          <w:sz w:val="14"/>
        </w:rPr>
        <w:t>Email: caiyuzhuang@foxmail.com</w:t>
      </w:r>
    </w:p>
    <w:p>
      <w:pPr>
        <w:pStyle w:val="5"/>
        <w:spacing w:before="2"/>
        <w:rPr>
          <w:rFonts w:ascii="Arial"/>
          <w:sz w:val="19"/>
        </w:rPr>
      </w:pPr>
      <w:r>
        <w:rPr>
          <w:lang w:val="en-IN" w:eastAsia="en-IN"/>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sectPr>
          <w:type w:val="continuous"/>
          <w:pgSz w:w="11910" w:h="16840"/>
          <w:pgMar w:top="1740" w:right="600" w:bottom="840" w:left="620" w:header="720" w:footer="720" w:gutter="0"/>
          <w:cols w:space="720" w:num="1"/>
        </w:sectPr>
      </w:pPr>
      <w:r>
        <w:rPr>
          <w:rFonts w:ascii="Minion Pro"/>
          <w:b/>
          <w:sz w:val="20"/>
        </w:rPr>
        <w:t>Notes/Comments:</w:t>
      </w:r>
      <w:r>
        <w:rPr>
          <w:rFonts w:hint="eastAsia" w:ascii="Minion Pro" w:eastAsiaTheme="minorEastAsia"/>
          <w:b/>
          <w:sz w:val="20"/>
          <w:lang w:eastAsia="zh-CN"/>
        </w:rPr>
        <w:t xml:space="preserve"> </w:t>
      </w:r>
      <w:r>
        <w:rPr>
          <w:rFonts w:hint="eastAsia" w:ascii="Minion Pro" w:eastAsiaTheme="minorEastAsia"/>
          <w:sz w:val="24"/>
          <w:lang w:eastAsia="zh-CN"/>
        </w:rPr>
        <w:t>N</w:t>
      </w:r>
      <w:r>
        <w:rPr>
          <w:rFonts w:ascii="Minion Pro" w:eastAsiaTheme="minorEastAsia"/>
          <w:sz w:val="24"/>
          <w:lang w:eastAsia="zh-CN"/>
        </w:rPr>
        <w:t>o</w:t>
      </w: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5168;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5168;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zM2E2MDQ1ZGRiNGMzYTM0NWExNjlhMjFkZmE0Y2YifQ=="/>
  </w:docVars>
  <w:rsids>
    <w:rsidRoot w:val="00AE3E37"/>
    <w:rsid w:val="000052F0"/>
    <w:rsid w:val="00093E18"/>
    <w:rsid w:val="000C329C"/>
    <w:rsid w:val="000E2911"/>
    <w:rsid w:val="001263DF"/>
    <w:rsid w:val="001620C2"/>
    <w:rsid w:val="00292ED9"/>
    <w:rsid w:val="002D26EC"/>
    <w:rsid w:val="00404E5B"/>
    <w:rsid w:val="00414F7B"/>
    <w:rsid w:val="004355DC"/>
    <w:rsid w:val="004749B4"/>
    <w:rsid w:val="00494130"/>
    <w:rsid w:val="004F3523"/>
    <w:rsid w:val="005004BE"/>
    <w:rsid w:val="005973B9"/>
    <w:rsid w:val="005B3A56"/>
    <w:rsid w:val="005D4BB7"/>
    <w:rsid w:val="006060CE"/>
    <w:rsid w:val="0063497F"/>
    <w:rsid w:val="00802E3F"/>
    <w:rsid w:val="00830E07"/>
    <w:rsid w:val="00873DF0"/>
    <w:rsid w:val="008756E6"/>
    <w:rsid w:val="00925236"/>
    <w:rsid w:val="009B2D44"/>
    <w:rsid w:val="00A07E82"/>
    <w:rsid w:val="00A601E9"/>
    <w:rsid w:val="00A66B5A"/>
    <w:rsid w:val="00A9710C"/>
    <w:rsid w:val="00AE3E37"/>
    <w:rsid w:val="00B21A57"/>
    <w:rsid w:val="00B43EEE"/>
    <w:rsid w:val="00B91720"/>
    <w:rsid w:val="00C33602"/>
    <w:rsid w:val="00CD6F55"/>
    <w:rsid w:val="00DE3104"/>
    <w:rsid w:val="00E752B4"/>
    <w:rsid w:val="00F55252"/>
    <w:rsid w:val="00F72EEA"/>
    <w:rsid w:val="00F84CAE"/>
    <w:rsid w:val="00FA4D41"/>
    <w:rsid w:val="31BC39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页眉 字符"/>
    <w:basedOn w:val="10"/>
    <w:link w:val="8"/>
    <w:uiPriority w:val="99"/>
    <w:rPr>
      <w:rFonts w:ascii="Tw Cen MT" w:hAnsi="Tw Cen MT" w:eastAsia="Tw Cen MT" w:cs="Tw Cen MT"/>
    </w:rPr>
  </w:style>
  <w:style w:type="character" w:customStyle="1" w:styleId="15">
    <w:name w:val="页脚 字符"/>
    <w:basedOn w:val="10"/>
    <w:link w:val="7"/>
    <w:uiPriority w:val="99"/>
    <w:rPr>
      <w:rFonts w:ascii="Tw Cen MT" w:hAnsi="Tw Cen MT" w:eastAsia="Tw Cen MT" w:cs="Tw Cen MT"/>
    </w:rPr>
  </w:style>
  <w:style w:type="character" w:customStyle="1" w:styleId="16">
    <w:name w:val="批注框文本 字符"/>
    <w:basedOn w:val="10"/>
    <w:link w:val="6"/>
    <w:semiHidden/>
    <w:qFormat/>
    <w:uiPriority w:val="99"/>
    <w:rPr>
      <w:rFonts w:ascii="Tahoma" w:hAnsi="Tahoma" w:eastAsia="Tw Cen MT" w:cs="Tahoma"/>
      <w:sz w:val="16"/>
      <w:szCs w:val="16"/>
    </w:rPr>
  </w:style>
  <w:style w:type="character" w:customStyle="1" w:styleId="17">
    <w:name w:val="正文文本 字符"/>
    <w:basedOn w:val="10"/>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590</Words>
  <Characters>3227</Characters>
  <Lines>27</Lines>
  <Paragraphs>7</Paragraphs>
  <TotalTime>36</TotalTime>
  <ScaleCrop>false</ScaleCrop>
  <LinksUpToDate>false</LinksUpToDate>
  <CharactersWithSpaces>3819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2020-12-31T06:05:00Z</dcterms:created>
  <dc:creator>mehaboobi shaik</dc:creator>
  <cp:lastModifiedBy>吳耀華</cp:lastModifiedBy>
  <dcterms:modified xsi:type="dcterms:W3CDTF">2023-03-03T09:45:37Z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2052-11.1.0.12980</vt:lpwstr>
  </property>
  <property fmtid="{D5CDD505-2E9C-101B-9397-08002B2CF9AE}" pid="6" name="ICV">
    <vt:lpwstr>F015ADE15F7542B5961AB204ED72E325</vt:lpwstr>
  </property>
</Properties>
</file>