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9F318" w14:textId="437D554B" w:rsidR="00AE3E37" w:rsidRPr="00270832" w:rsidRDefault="00270832" w:rsidP="00B802E5">
      <w:pPr>
        <w:pStyle w:val="Heading1"/>
        <w:spacing w:before="0" w:after="120"/>
        <w:ind w:left="0"/>
      </w:pPr>
      <w:r>
        <w:rPr>
          <w:color w:val="337AB7"/>
        </w:rPr>
        <w:t xml:space="preserve">Experimental study on sildenafil citrate </w:t>
      </w:r>
      <w:r w:rsidR="00E5205C">
        <w:rPr>
          <w:color w:val="337AB7"/>
        </w:rPr>
        <w:t xml:space="preserve">drug </w:t>
      </w:r>
      <w:r>
        <w:rPr>
          <w:color w:val="337AB7"/>
        </w:rPr>
        <w:t xml:space="preserve">solubility </w:t>
      </w:r>
      <w:r w:rsidR="00B802E5">
        <w:rPr>
          <w:color w:val="337AB7"/>
        </w:rPr>
        <w:t>in supercritical carbon dioxide</w:t>
      </w:r>
    </w:p>
    <w:p w14:paraId="409F9704" w14:textId="5FCECD34" w:rsidR="005973B9" w:rsidRDefault="00E81387" w:rsidP="00E81387">
      <w:pPr>
        <w:pStyle w:val="BodyText"/>
        <w:spacing w:before="73" w:line="180" w:lineRule="auto"/>
        <w:ind w:left="100" w:right="5987"/>
        <w:rPr>
          <w:rFonts w:ascii="Arial"/>
        </w:rPr>
      </w:pPr>
      <w:r>
        <w:rPr>
          <w:rFonts w:ascii="Arial"/>
        </w:rPr>
        <w:t>Gholamhossein Sodeifian,</w:t>
      </w:r>
    </w:p>
    <w:p w14:paraId="526C0D35" w14:textId="7F56C77C" w:rsidR="00E81387" w:rsidRDefault="00E81387" w:rsidP="00E81387">
      <w:pPr>
        <w:pStyle w:val="BodyText"/>
        <w:spacing w:before="73" w:line="180" w:lineRule="auto"/>
        <w:ind w:left="100" w:right="5987"/>
        <w:rPr>
          <w:rFonts w:ascii="Arial"/>
        </w:rPr>
      </w:pPr>
      <w:r>
        <w:rPr>
          <w:rFonts w:ascii="Arial"/>
        </w:rPr>
        <w:t>University of Kashan</w:t>
      </w:r>
      <w:r w:rsidR="003D0D57">
        <w:rPr>
          <w:rFonts w:ascii="Arial"/>
        </w:rPr>
        <w:t>, Kashan, Iran</w:t>
      </w:r>
    </w:p>
    <w:p w14:paraId="4571503E" w14:textId="77777777" w:rsidR="00AE3E37" w:rsidRDefault="00AE3E37" w:rsidP="00E81387">
      <w:pPr>
        <w:pStyle w:val="BodyText"/>
        <w:spacing w:line="180" w:lineRule="auto"/>
        <w:rPr>
          <w:rFonts w:ascii="Arial"/>
          <w:sz w:val="20"/>
        </w:rPr>
      </w:pPr>
    </w:p>
    <w:p w14:paraId="2720218F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6B425EC" w14:textId="38EA347B" w:rsidR="00AE3E37" w:rsidRDefault="00A9710C" w:rsidP="00EA2764">
      <w:pPr>
        <w:pStyle w:val="Heading3"/>
        <w:ind w:left="102"/>
        <w:jc w:val="both"/>
      </w:pPr>
      <w:r>
        <w:rPr>
          <w:color w:val="BF5A14"/>
        </w:rPr>
        <w:lastRenderedPageBreak/>
        <w:t>Abstract</w:t>
      </w:r>
    </w:p>
    <w:p w14:paraId="5842A132" w14:textId="3DBED0F2" w:rsidR="00B91815" w:rsidRPr="00B91815" w:rsidRDefault="00B91815" w:rsidP="00091AD7">
      <w:pPr>
        <w:pStyle w:val="BodyText"/>
        <w:spacing w:before="90" w:line="280" w:lineRule="auto"/>
        <w:ind w:left="100"/>
        <w:jc w:val="both"/>
      </w:pPr>
      <w:r w:rsidRPr="00B91815">
        <w:t xml:space="preserve">Statement of the problem: According to the sexual dysfunction definitions </w:t>
      </w:r>
      <w:r w:rsidRPr="00F8713A">
        <w:t>[</w:t>
      </w:r>
      <w:r w:rsidR="00FF1164" w:rsidRPr="00F8713A">
        <w:t>1</w:t>
      </w:r>
      <w:r w:rsidRPr="00F8713A">
        <w:t>]</w:t>
      </w:r>
      <w:r w:rsidRPr="00B91815">
        <w:t xml:space="preserve">, erectile dysfunction is the persistent inability to get and maintain an erection for satisfactory </w:t>
      </w:r>
      <w:r w:rsidR="002166A4">
        <w:t>sexual performance</w:t>
      </w:r>
      <w:r w:rsidRPr="00B91815">
        <w:t>.</w:t>
      </w:r>
      <w:r w:rsidR="002166A4">
        <w:t xml:space="preserve"> Among available methods for treatment, or</w:t>
      </w:r>
      <w:bookmarkStart w:id="0" w:name="_GoBack"/>
      <w:bookmarkEnd w:id="0"/>
      <w:r w:rsidR="002166A4">
        <w:t>al medications are the most common.</w:t>
      </w:r>
      <w:r w:rsidRPr="00B91815">
        <w:t xml:space="preserve"> In this regard, sildenafil citrate belongs to a class of medications called phosphodiesterase type 5 (PDE 5) inhibitors, which can restore the natural process of erection. Despite rapi</w:t>
      </w:r>
      <w:r w:rsidR="002166A4">
        <w:t xml:space="preserve">d absorption after </w:t>
      </w:r>
      <w:r w:rsidR="00FF1164">
        <w:t>administration</w:t>
      </w:r>
      <w:r w:rsidRPr="00B91815">
        <w:t xml:space="preserve">, absolute bioavailability of sildenafil citrate has been reported about 40% </w:t>
      </w:r>
      <w:r w:rsidR="0025173C" w:rsidRPr="00F8713A">
        <w:t>[</w:t>
      </w:r>
      <w:r w:rsidR="00FF1164" w:rsidRPr="00F8713A">
        <w:t>2</w:t>
      </w:r>
      <w:r w:rsidRPr="00F8713A">
        <w:t>]</w:t>
      </w:r>
      <w:r w:rsidRPr="00B91815">
        <w:t xml:space="preserve">. </w:t>
      </w:r>
      <w:r w:rsidR="005850DF">
        <w:t xml:space="preserve">One of solutions to </w:t>
      </w:r>
      <w:r w:rsidRPr="00B91815">
        <w:t>improve the b</w:t>
      </w:r>
      <w:r w:rsidR="00091AD7">
        <w:t>ioavailability of this medicine is</w:t>
      </w:r>
      <w:r w:rsidRPr="00B91815">
        <w:t xml:space="preserve"> production </w:t>
      </w:r>
      <w:r w:rsidR="00EE0E25">
        <w:t xml:space="preserve">of </w:t>
      </w:r>
      <w:r w:rsidRPr="00B91815">
        <w:t xml:space="preserve">nanoparticles via supercritical </w:t>
      </w:r>
      <w:r w:rsidR="00327986">
        <w:t>fluid</w:t>
      </w:r>
      <w:r w:rsidRPr="00B91815">
        <w:t xml:space="preserve">-based technologies </w:t>
      </w:r>
      <w:r w:rsidR="00624780" w:rsidRPr="00F8713A">
        <w:t>[3]</w:t>
      </w:r>
      <w:r w:rsidRPr="00B91815">
        <w:t>.</w:t>
      </w:r>
      <w:r w:rsidRPr="00B91815" w:rsidDel="000C6945">
        <w:rPr>
          <w:rFonts w:hint="eastAsia"/>
        </w:rPr>
        <w:t xml:space="preserve"> </w:t>
      </w:r>
      <w:r w:rsidRPr="00B91815">
        <w:t xml:space="preserve">To follow these technologies, knowledge of solubility of sildenafil citrate in </w:t>
      </w:r>
      <w:r w:rsidR="00327986">
        <w:t xml:space="preserve">the </w:t>
      </w:r>
      <w:r w:rsidRPr="00B91815">
        <w:t xml:space="preserve">supercritical </w:t>
      </w:r>
      <w:r w:rsidR="00327986">
        <w:t>fluid</w:t>
      </w:r>
      <w:r w:rsidRPr="00B91815">
        <w:t xml:space="preserve"> at different temperatures and pressures, is the first step. However, experimental performances </w:t>
      </w:r>
      <w:r w:rsidR="00327986">
        <w:t>at various</w:t>
      </w:r>
      <w:r w:rsidRPr="00B91815">
        <w:t xml:space="preserve"> operating conditions are usually impractical. Therefore, application of an acceptable theoretical approach such as semi-empirical model</w:t>
      </w:r>
      <w:r w:rsidR="00EE0E25">
        <w:t>s</w:t>
      </w:r>
      <w:r w:rsidRPr="00B91815">
        <w:t xml:space="preserve"> </w:t>
      </w:r>
      <w:r w:rsidR="0025173C" w:rsidRPr="00F8713A">
        <w:t>[</w:t>
      </w:r>
      <w:r w:rsidR="00624780" w:rsidRPr="00F8713A">
        <w:t>4</w:t>
      </w:r>
      <w:r w:rsidR="0025173C" w:rsidRPr="00F8713A">
        <w:t>]</w:t>
      </w:r>
      <w:r w:rsidR="0025173C">
        <w:t xml:space="preserve"> </w:t>
      </w:r>
      <w:r w:rsidRPr="00B91815">
        <w:t>would be found beneficial.</w:t>
      </w:r>
    </w:p>
    <w:p w14:paraId="51FA160A" w14:textId="79297087" w:rsidR="00B91815" w:rsidRDefault="00B91815" w:rsidP="00340081">
      <w:pPr>
        <w:pStyle w:val="BodyText"/>
        <w:spacing w:before="90" w:line="280" w:lineRule="auto"/>
        <w:ind w:left="100"/>
        <w:jc w:val="both"/>
      </w:pPr>
      <w:r w:rsidRPr="00B91815">
        <w:t>Methodology and theoretical orientation: This study is aimed to measure the solubility of sildenafil citrate in supercritical carbon dioxide (S</w:t>
      </w:r>
      <w:r w:rsidR="00091AD7">
        <w:t>C</w:t>
      </w:r>
      <w:r w:rsidRPr="00B91815">
        <w:t>CO</w:t>
      </w:r>
      <w:r w:rsidRPr="00B91815">
        <w:rPr>
          <w:vertAlign w:val="subscript"/>
        </w:rPr>
        <w:t>2</w:t>
      </w:r>
      <w:r w:rsidRPr="00B91815">
        <w:t>) at equilibrium conditions of 308-338 K and 12</w:t>
      </w:r>
      <w:r w:rsidR="00340081">
        <w:t>0</w:t>
      </w:r>
      <w:r w:rsidRPr="00B91815">
        <w:t>-27</w:t>
      </w:r>
      <w:r w:rsidR="00340081">
        <w:t>0</w:t>
      </w:r>
      <w:r w:rsidRPr="00B91815">
        <w:t xml:space="preserve"> </w:t>
      </w:r>
      <w:r w:rsidR="00340081">
        <w:t>bar</w:t>
      </w:r>
      <w:r w:rsidRPr="00B91815">
        <w:t>.</w:t>
      </w:r>
      <w:r w:rsidR="00010B46">
        <w:t xml:space="preserve"> Afterwards</w:t>
      </w:r>
      <w:r w:rsidRPr="00B91815">
        <w:t xml:space="preserve">, Sodeifian’s model </w:t>
      </w:r>
      <w:r w:rsidR="0025173C" w:rsidRPr="00F8713A">
        <w:t>[</w:t>
      </w:r>
      <w:r w:rsidR="00E978DC">
        <w:t>5</w:t>
      </w:r>
      <w:r w:rsidR="0025173C" w:rsidRPr="00F8713A">
        <w:t>]</w:t>
      </w:r>
      <w:r w:rsidR="0025173C">
        <w:t xml:space="preserve"> </w:t>
      </w:r>
      <w:r w:rsidRPr="00B91815">
        <w:t>as a semi-empirical model was applied to correlate the obtained solubility data.</w:t>
      </w:r>
      <w:r w:rsidR="00010B46">
        <w:t xml:space="preserve"> </w:t>
      </w:r>
      <w:r w:rsidR="00010B46" w:rsidRPr="00B91815">
        <w:t>U</w:t>
      </w:r>
      <w:r w:rsidRPr="00B91815">
        <w:t xml:space="preserve">sing </w:t>
      </w:r>
      <w:r w:rsidR="00010B46">
        <w:t xml:space="preserve">the </w:t>
      </w:r>
      <w:r w:rsidRPr="00B91815">
        <w:t>function of absolute average relative deviation (AARD%), a statistical criteria, the correlating ability of this model was evaluated.</w:t>
      </w:r>
      <w:r w:rsidR="00CF6221">
        <w:t xml:space="preserve"> More information on procedure and formulas are available elsewhere [6].</w:t>
      </w:r>
    </w:p>
    <w:p w14:paraId="58F78713" w14:textId="15788B08" w:rsidR="00B91815" w:rsidRDefault="00B91815" w:rsidP="00EA2764">
      <w:pPr>
        <w:pStyle w:val="BodyText"/>
        <w:spacing w:before="90" w:after="90" w:line="281" w:lineRule="auto"/>
        <w:ind w:left="102"/>
        <w:jc w:val="both"/>
      </w:pPr>
      <w:r w:rsidRPr="00B91815">
        <w:t>Findings: The minimum and maximum solubility data, in terms of equilibrium mole fraction were</w:t>
      </w:r>
      <w:r w:rsidR="005850DF">
        <w:t xml:space="preserve"> 0.14×10</w:t>
      </w:r>
      <w:r w:rsidR="005850DF">
        <w:rPr>
          <w:vertAlign w:val="superscript"/>
        </w:rPr>
        <w:t>6</w:t>
      </w:r>
      <w:r w:rsidRPr="00B91815">
        <w:t xml:space="preserve"> and</w:t>
      </w:r>
      <w:r w:rsidR="005850DF">
        <w:t xml:space="preserve"> 5.91×10</w:t>
      </w:r>
      <w:r w:rsidR="005850DF">
        <w:rPr>
          <w:vertAlign w:val="superscript"/>
        </w:rPr>
        <w:t>6</w:t>
      </w:r>
      <w:r w:rsidRPr="00B91815">
        <w:t>, respectively. With respect to the obtained experimental data, crossover pressure point was observed near 2</w:t>
      </w:r>
      <w:r w:rsidR="00227485">
        <w:t>3</w:t>
      </w:r>
      <w:r w:rsidRPr="00B91815">
        <w:t xml:space="preserve">0 bar. Besides, Sodeifian’s model showed an acceptable ability for correlating the data with an </w:t>
      </w:r>
      <w:r w:rsidR="00624780">
        <w:t>AARD%</w:t>
      </w:r>
      <w:r w:rsidRPr="00B91815">
        <w:t xml:space="preserve"> of</w:t>
      </w:r>
      <w:r w:rsidR="006A3379">
        <w:t>10.49%. The correlative constants of the model for sildenafil citrate are presented below:</w:t>
      </w:r>
    </w:p>
    <w:tbl>
      <w:tblPr>
        <w:tblStyle w:val="TableGrid"/>
        <w:tblW w:w="4418" w:type="dxa"/>
        <w:tblInd w:w="43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"/>
        <w:gridCol w:w="738"/>
        <w:gridCol w:w="737"/>
        <w:gridCol w:w="737"/>
        <w:gridCol w:w="737"/>
        <w:gridCol w:w="737"/>
      </w:tblGrid>
      <w:tr w:rsidR="006A3379" w14:paraId="604C3051" w14:textId="77777777" w:rsidTr="006A3379">
        <w:tc>
          <w:tcPr>
            <w:tcW w:w="732" w:type="dxa"/>
            <w:vAlign w:val="center"/>
          </w:tcPr>
          <w:p w14:paraId="7D5A4711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a</w:t>
            </w:r>
            <w:r w:rsidRPr="007D5F86">
              <w:rPr>
                <w:vertAlign w:val="subscript"/>
              </w:rPr>
              <w:t>0</w:t>
            </w:r>
          </w:p>
        </w:tc>
        <w:tc>
          <w:tcPr>
            <w:tcW w:w="738" w:type="dxa"/>
            <w:vAlign w:val="center"/>
          </w:tcPr>
          <w:p w14:paraId="0B655EF3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a</w:t>
            </w:r>
            <w:r w:rsidRPr="007D5F86">
              <w:rPr>
                <w:vertAlign w:val="subscript"/>
              </w:rPr>
              <w:t>1</w:t>
            </w:r>
          </w:p>
        </w:tc>
        <w:tc>
          <w:tcPr>
            <w:tcW w:w="737" w:type="dxa"/>
            <w:vAlign w:val="center"/>
          </w:tcPr>
          <w:p w14:paraId="4AF848D9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a</w:t>
            </w:r>
            <w:r w:rsidRPr="007D5F86">
              <w:rPr>
                <w:vertAlign w:val="subscript"/>
              </w:rPr>
              <w:t>2</w:t>
            </w:r>
          </w:p>
        </w:tc>
        <w:tc>
          <w:tcPr>
            <w:tcW w:w="737" w:type="dxa"/>
            <w:vAlign w:val="center"/>
          </w:tcPr>
          <w:p w14:paraId="320F8BFE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a</w:t>
            </w:r>
            <w:r w:rsidRPr="007D5F86">
              <w:rPr>
                <w:vertAlign w:val="subscript"/>
              </w:rPr>
              <w:t>3</w:t>
            </w:r>
          </w:p>
        </w:tc>
        <w:tc>
          <w:tcPr>
            <w:tcW w:w="737" w:type="dxa"/>
            <w:vAlign w:val="center"/>
          </w:tcPr>
          <w:p w14:paraId="197A5CFA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a</w:t>
            </w:r>
            <w:r w:rsidRPr="007D5F86">
              <w:rPr>
                <w:vertAlign w:val="subscript"/>
              </w:rPr>
              <w:t>4</w:t>
            </w:r>
          </w:p>
        </w:tc>
        <w:tc>
          <w:tcPr>
            <w:tcW w:w="737" w:type="dxa"/>
            <w:vAlign w:val="center"/>
          </w:tcPr>
          <w:p w14:paraId="064DA429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a</w:t>
            </w:r>
            <w:r w:rsidRPr="007D5F86">
              <w:rPr>
                <w:vertAlign w:val="subscript"/>
              </w:rPr>
              <w:t>5</w:t>
            </w:r>
          </w:p>
        </w:tc>
      </w:tr>
      <w:tr w:rsidR="006A3379" w14:paraId="6BA1D008" w14:textId="77777777" w:rsidTr="006A3379">
        <w:tc>
          <w:tcPr>
            <w:tcW w:w="732" w:type="dxa"/>
            <w:vAlign w:val="center"/>
          </w:tcPr>
          <w:p w14:paraId="65E68098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-3.06</w:t>
            </w:r>
          </w:p>
        </w:tc>
        <w:tc>
          <w:tcPr>
            <w:tcW w:w="738" w:type="dxa"/>
            <w:vAlign w:val="center"/>
          </w:tcPr>
          <w:p w14:paraId="56E03A02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0.075</w:t>
            </w:r>
          </w:p>
        </w:tc>
        <w:tc>
          <w:tcPr>
            <w:tcW w:w="737" w:type="dxa"/>
            <w:vAlign w:val="center"/>
          </w:tcPr>
          <w:p w14:paraId="731E430E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0.008</w:t>
            </w:r>
          </w:p>
        </w:tc>
        <w:tc>
          <w:tcPr>
            <w:tcW w:w="737" w:type="dxa"/>
            <w:vAlign w:val="center"/>
          </w:tcPr>
          <w:p w14:paraId="6AFF523D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0.002</w:t>
            </w:r>
          </w:p>
        </w:tc>
        <w:tc>
          <w:tcPr>
            <w:tcW w:w="737" w:type="dxa"/>
            <w:vAlign w:val="center"/>
          </w:tcPr>
          <w:p w14:paraId="6002EC6A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-0.012</w:t>
            </w:r>
          </w:p>
        </w:tc>
        <w:tc>
          <w:tcPr>
            <w:tcW w:w="737" w:type="dxa"/>
            <w:vAlign w:val="center"/>
          </w:tcPr>
          <w:p w14:paraId="6B347AE4" w14:textId="77777777" w:rsidR="006A3379" w:rsidRDefault="006A3379" w:rsidP="006A3379">
            <w:pPr>
              <w:pStyle w:val="BodyText"/>
              <w:spacing w:before="90" w:line="280" w:lineRule="auto"/>
              <w:jc w:val="center"/>
            </w:pPr>
            <w:r>
              <w:t>-961.4</w:t>
            </w:r>
          </w:p>
        </w:tc>
      </w:tr>
    </w:tbl>
    <w:p w14:paraId="181F8057" w14:textId="495A24D8" w:rsidR="00AE3E37" w:rsidRDefault="00010B46" w:rsidP="00CE1EEC">
      <w:pPr>
        <w:pStyle w:val="BodyText"/>
        <w:spacing w:before="90" w:after="90" w:line="281" w:lineRule="auto"/>
        <w:ind w:left="102"/>
        <w:jc w:val="both"/>
      </w:pPr>
      <w:r w:rsidRPr="00010B46">
        <w:t xml:space="preserve">Conclusion &amp; significance: </w:t>
      </w:r>
      <w:r w:rsidR="00CE1EEC">
        <w:t>T</w:t>
      </w:r>
      <w:r>
        <w:t>he results of this study</w:t>
      </w:r>
      <w:r w:rsidRPr="00010B46">
        <w:t xml:space="preserve"> indicated </w:t>
      </w:r>
      <w:r w:rsidR="00EE0E25">
        <w:t xml:space="preserve">that </w:t>
      </w:r>
      <w:proofErr w:type="spellStart"/>
      <w:r w:rsidR="00EE0E25" w:rsidRPr="00010B46">
        <w:t>sodeifian’s</w:t>
      </w:r>
      <w:proofErr w:type="spellEnd"/>
      <w:r w:rsidR="00EE0E25" w:rsidRPr="00010B46">
        <w:t xml:space="preserve"> model </w:t>
      </w:r>
      <w:r w:rsidR="00EE0E25">
        <w:t xml:space="preserve">has </w:t>
      </w:r>
      <w:r w:rsidRPr="00010B46">
        <w:t>a good performance for correlating the solubility data which makes it appropriate for further applications in supercritical carbon dioxide-based technologies such as gas anti-solvent (GAS).</w:t>
      </w:r>
    </w:p>
    <w:p w14:paraId="74932195" w14:textId="55D5E8DF" w:rsidR="005973B9" w:rsidRPr="00EA2764" w:rsidRDefault="00EA2764" w:rsidP="00BE75F4">
      <w:pPr>
        <w:pStyle w:val="Heading3"/>
        <w:ind w:left="0"/>
        <w:rPr>
          <w:color w:val="BF5A14"/>
        </w:rPr>
      </w:pPr>
      <w:r w:rsidRPr="00EA2764">
        <w:rPr>
          <w:b w:val="0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20A6DE" wp14:editId="3F65E969">
                <wp:simplePos x="0" y="0"/>
                <wp:positionH relativeFrom="column">
                  <wp:posOffset>3669665</wp:posOffset>
                </wp:positionH>
                <wp:positionV relativeFrom="paragraph">
                  <wp:posOffset>-4238956</wp:posOffset>
                </wp:positionV>
                <wp:extent cx="3240000" cy="2160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2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A94CA" w14:textId="215D956D" w:rsidR="00EA2764" w:rsidRPr="00EA2764" w:rsidRDefault="00EA2764" w:rsidP="00EA2764">
                            <w:pPr>
                              <w:jc w:val="center"/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EA2764">
                              <w:rPr>
                                <w:sz w:val="18"/>
                                <w:szCs w:val="18"/>
                              </w:rPr>
                              <w:t>Experimental data for sildenafil citrate solubility in SCCO</w:t>
                            </w:r>
                            <w:r w:rsidRPr="00EA2764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5E20A6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8.95pt;margin-top:-333.8pt;width:255.1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" filled="f" stroked="f">
                <v:textbox>
                  <w:txbxContent>
                    <w:p w14:paraId="067A94CA" w14:textId="215D956D" w:rsidR="00EA2764" w:rsidRPr="00EA2764" w:rsidRDefault="00EA2764" w:rsidP="00EA2764">
                      <w:pPr>
                        <w:jc w:val="center"/>
                        <w:rPr>
                          <w:sz w:val="18"/>
                          <w:szCs w:val="18"/>
                          <w:vertAlign w:val="subscript"/>
                        </w:rPr>
                      </w:pPr>
                      <w:r w:rsidRPr="00EA2764">
                        <w:rPr>
                          <w:sz w:val="18"/>
                          <w:szCs w:val="18"/>
                        </w:rPr>
                        <w:t>Experimental data for sildenafil citrate solubility in SCCO</w:t>
                      </w:r>
                      <w:r w:rsidRPr="00EA2764">
                        <w:rPr>
                          <w:sz w:val="18"/>
                          <w:szCs w:val="18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9710C">
        <w:rPr>
          <w:b w:val="0"/>
        </w:rPr>
        <w:br w:type="column"/>
      </w:r>
      <w:r w:rsidR="00BE75F4">
        <w:rPr>
          <w:noProof/>
        </w:rPr>
        <w:lastRenderedPageBreak/>
        <w:t xml:space="preserve"> </w:t>
      </w:r>
      <w:r w:rsidR="00340081">
        <w:rPr>
          <w:noProof/>
          <w:lang w:val="en-IN" w:eastAsia="en-IN"/>
        </w:rPr>
        <w:drawing>
          <wp:inline distT="0" distB="0" distL="0" distR="0" wp14:anchorId="75BD96F9" wp14:editId="400F0D5F">
            <wp:extent cx="3420000" cy="1979874"/>
            <wp:effectExtent l="0" t="0" r="0" b="190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624780">
        <w:rPr>
          <w:color w:val="BF5A14"/>
        </w:rPr>
        <w:t>Recent Publications</w:t>
      </w:r>
    </w:p>
    <w:p w14:paraId="491461BD" w14:textId="17F9E444" w:rsidR="0025173C" w:rsidRDefault="00B14491" w:rsidP="00B1449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McCabe MP</w:t>
      </w:r>
      <w:r w:rsidRPr="00B14491">
        <w:rPr>
          <w:sz w:val="18"/>
        </w:rPr>
        <w:t>, et al. (2016)</w:t>
      </w:r>
      <w:r>
        <w:rPr>
          <w:sz w:val="18"/>
        </w:rPr>
        <w:t xml:space="preserve"> </w:t>
      </w:r>
      <w:r w:rsidRPr="00B14491">
        <w:rPr>
          <w:sz w:val="18"/>
        </w:rPr>
        <w:t>Definitions of sexual dysfunctions in women and men: a consensus statement from the Fourth International Consul</w:t>
      </w:r>
      <w:r>
        <w:rPr>
          <w:sz w:val="18"/>
        </w:rPr>
        <w:t>tation on Sexual Medicine 2015.</w:t>
      </w:r>
      <w:r w:rsidRPr="00B14491">
        <w:rPr>
          <w:sz w:val="18"/>
        </w:rPr>
        <w:t xml:space="preserve"> The</w:t>
      </w:r>
      <w:r>
        <w:rPr>
          <w:sz w:val="18"/>
        </w:rPr>
        <w:t xml:space="preserve"> journal of sexual medicine 13</w:t>
      </w:r>
      <w:r w:rsidRPr="00B14491">
        <w:rPr>
          <w:sz w:val="18"/>
        </w:rPr>
        <w:t>: 135-143.</w:t>
      </w:r>
    </w:p>
    <w:p w14:paraId="4A4B5550" w14:textId="407B5947" w:rsidR="00FF1164" w:rsidRDefault="00FF1164" w:rsidP="00FF116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Pirhayati</w:t>
      </w:r>
      <w:proofErr w:type="spellEnd"/>
      <w:r>
        <w:rPr>
          <w:sz w:val="18"/>
        </w:rPr>
        <w:t>, FH</w:t>
      </w:r>
      <w:r w:rsidRPr="00FF1164">
        <w:rPr>
          <w:sz w:val="18"/>
        </w:rPr>
        <w:t xml:space="preserve">, </w:t>
      </w:r>
      <w:r>
        <w:rPr>
          <w:sz w:val="18"/>
        </w:rPr>
        <w:t>et al. (2017)</w:t>
      </w:r>
      <w:r w:rsidRPr="00FF1164">
        <w:rPr>
          <w:sz w:val="18"/>
        </w:rPr>
        <w:t xml:space="preserve"> Thermodynamic solubility and density of sildenafil citrate in ethanol and water mixtures: Measurement and correlation at various temperature</w:t>
      </w:r>
      <w:r>
        <w:rPr>
          <w:sz w:val="18"/>
        </w:rPr>
        <w:t>s. Journal of Molecular Liquids 225:</w:t>
      </w:r>
      <w:r w:rsidRPr="00FF1164">
        <w:rPr>
          <w:sz w:val="18"/>
        </w:rPr>
        <w:t xml:space="preserve"> 631-635.</w:t>
      </w:r>
    </w:p>
    <w:p w14:paraId="2F6B632B" w14:textId="13079C79" w:rsidR="002F183A" w:rsidRDefault="002F183A" w:rsidP="002F183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>Islam T</w:t>
      </w:r>
      <w:r w:rsidRPr="002F183A">
        <w:rPr>
          <w:sz w:val="18"/>
        </w:rPr>
        <w:t xml:space="preserve">, </w:t>
      </w:r>
      <w:r>
        <w:rPr>
          <w:sz w:val="18"/>
        </w:rPr>
        <w:t>et al. (2022)</w:t>
      </w:r>
      <w:r w:rsidRPr="002F183A">
        <w:rPr>
          <w:sz w:val="18"/>
        </w:rPr>
        <w:t xml:space="preserve"> Development of nanoparticles for pharmaceutical preparations using supercritical techniques. Chemical </w:t>
      </w:r>
      <w:r>
        <w:rPr>
          <w:sz w:val="18"/>
        </w:rPr>
        <w:t>Engineering Communications</w:t>
      </w:r>
      <w:r w:rsidRPr="002F183A">
        <w:rPr>
          <w:sz w:val="18"/>
        </w:rPr>
        <w:t xml:space="preserve"> 209</w:t>
      </w:r>
      <w:r>
        <w:rPr>
          <w:sz w:val="18"/>
        </w:rPr>
        <w:t>:</w:t>
      </w:r>
      <w:r w:rsidRPr="002F183A">
        <w:rPr>
          <w:sz w:val="18"/>
        </w:rPr>
        <w:t xml:space="preserve"> 1642-1663.</w:t>
      </w:r>
    </w:p>
    <w:p w14:paraId="3E39BE25" w14:textId="4B2B594C" w:rsidR="00D04A15" w:rsidRDefault="00E978DC" w:rsidP="00D04A15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>
        <w:rPr>
          <w:sz w:val="18"/>
        </w:rPr>
        <w:t>Sodeifian</w:t>
      </w:r>
      <w:proofErr w:type="spellEnd"/>
      <w:r>
        <w:rPr>
          <w:sz w:val="18"/>
        </w:rPr>
        <w:t xml:space="preserve"> G, </w:t>
      </w:r>
      <w:proofErr w:type="spellStart"/>
      <w:r>
        <w:rPr>
          <w:sz w:val="18"/>
        </w:rPr>
        <w:t>Sajadian</w:t>
      </w:r>
      <w:proofErr w:type="spellEnd"/>
      <w:r>
        <w:rPr>
          <w:sz w:val="18"/>
        </w:rPr>
        <w:t xml:space="preserve"> SA, </w:t>
      </w:r>
      <w:proofErr w:type="spellStart"/>
      <w:proofErr w:type="gramStart"/>
      <w:r>
        <w:rPr>
          <w:sz w:val="18"/>
        </w:rPr>
        <w:t>Derakhsheshpour</w:t>
      </w:r>
      <w:proofErr w:type="spellEnd"/>
      <w:r>
        <w:rPr>
          <w:sz w:val="18"/>
        </w:rPr>
        <w:t xml:space="preserve">  R</w:t>
      </w:r>
      <w:proofErr w:type="gramEnd"/>
      <w:r>
        <w:rPr>
          <w:sz w:val="18"/>
        </w:rPr>
        <w:t xml:space="preserve"> (2022)</w:t>
      </w:r>
      <w:r w:rsidR="00D04A15" w:rsidRPr="00D04A15">
        <w:rPr>
          <w:sz w:val="18"/>
        </w:rPr>
        <w:t xml:space="preserve"> CO</w:t>
      </w:r>
      <w:r w:rsidR="00D04A15" w:rsidRPr="00E978DC">
        <w:rPr>
          <w:sz w:val="18"/>
          <w:vertAlign w:val="subscript"/>
        </w:rPr>
        <w:t>2</w:t>
      </w:r>
      <w:r w:rsidR="00D04A15" w:rsidRPr="00D04A15">
        <w:rPr>
          <w:sz w:val="18"/>
        </w:rPr>
        <w:t xml:space="preserve"> utilization as a supercritical solvent and supercritical </w:t>
      </w:r>
      <w:proofErr w:type="spellStart"/>
      <w:r w:rsidR="00D04A15" w:rsidRPr="00D04A15">
        <w:rPr>
          <w:sz w:val="18"/>
        </w:rPr>
        <w:t>antisolvent</w:t>
      </w:r>
      <w:proofErr w:type="spellEnd"/>
      <w:r w:rsidR="00D04A15" w:rsidRPr="00D04A15">
        <w:rPr>
          <w:sz w:val="18"/>
        </w:rPr>
        <w:t xml:space="preserve"> in production of sertraline hydrochloride nanoparticles. Journal of CO</w:t>
      </w:r>
      <w:r w:rsidR="00D04A15" w:rsidRPr="00E978DC">
        <w:rPr>
          <w:sz w:val="18"/>
          <w:vertAlign w:val="subscript"/>
        </w:rPr>
        <w:t>2</w:t>
      </w:r>
      <w:r>
        <w:rPr>
          <w:sz w:val="18"/>
        </w:rPr>
        <w:t xml:space="preserve"> Utilization, 55:</w:t>
      </w:r>
      <w:r w:rsidR="00D04A15" w:rsidRPr="00D04A15">
        <w:rPr>
          <w:sz w:val="18"/>
        </w:rPr>
        <w:t xml:space="preserve"> 101799.</w:t>
      </w:r>
    </w:p>
    <w:p w14:paraId="5DF9CEA7" w14:textId="31DFC239" w:rsidR="002F183A" w:rsidRDefault="00A2517D" w:rsidP="002F183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>
        <w:rPr>
          <w:sz w:val="18"/>
        </w:rPr>
        <w:t>Sodeifian</w:t>
      </w:r>
      <w:proofErr w:type="spellEnd"/>
      <w:r>
        <w:rPr>
          <w:sz w:val="18"/>
        </w:rPr>
        <w:t xml:space="preserve"> G, </w:t>
      </w:r>
      <w:proofErr w:type="spellStart"/>
      <w:r>
        <w:rPr>
          <w:sz w:val="18"/>
        </w:rPr>
        <w:t>Razmimanesh</w:t>
      </w:r>
      <w:proofErr w:type="spellEnd"/>
      <w:r>
        <w:rPr>
          <w:sz w:val="18"/>
        </w:rPr>
        <w:t xml:space="preserve"> F, </w:t>
      </w:r>
      <w:proofErr w:type="spellStart"/>
      <w:r>
        <w:rPr>
          <w:sz w:val="18"/>
        </w:rPr>
        <w:t>Sajadian</w:t>
      </w:r>
      <w:proofErr w:type="spellEnd"/>
      <w:r>
        <w:rPr>
          <w:sz w:val="18"/>
        </w:rPr>
        <w:t xml:space="preserve"> SA (2019)</w:t>
      </w:r>
      <w:r w:rsidR="002F183A" w:rsidRPr="002F183A">
        <w:rPr>
          <w:sz w:val="18"/>
        </w:rPr>
        <w:t xml:space="preserve"> Solubility measurement of a chemotherapeutic agent (</w:t>
      </w:r>
      <w:proofErr w:type="spellStart"/>
      <w:r w:rsidR="002F183A" w:rsidRPr="002F183A">
        <w:rPr>
          <w:sz w:val="18"/>
        </w:rPr>
        <w:t>Imatinib</w:t>
      </w:r>
      <w:proofErr w:type="spellEnd"/>
      <w:r w:rsidR="002F183A" w:rsidRPr="002F183A">
        <w:rPr>
          <w:sz w:val="18"/>
        </w:rPr>
        <w:t xml:space="preserve"> </w:t>
      </w:r>
      <w:proofErr w:type="spellStart"/>
      <w:r w:rsidR="002F183A" w:rsidRPr="002F183A">
        <w:rPr>
          <w:sz w:val="18"/>
        </w:rPr>
        <w:t>mesylate</w:t>
      </w:r>
      <w:proofErr w:type="spellEnd"/>
      <w:r w:rsidR="002F183A" w:rsidRPr="002F183A">
        <w:rPr>
          <w:sz w:val="18"/>
        </w:rPr>
        <w:t>) in supercritical carbon dioxide: Assessment of new empirical model. The Journal of Supercri</w:t>
      </w:r>
      <w:r>
        <w:rPr>
          <w:sz w:val="18"/>
        </w:rPr>
        <w:t>tical Fluids 146:</w:t>
      </w:r>
      <w:r w:rsidR="002F183A" w:rsidRPr="002F183A">
        <w:rPr>
          <w:sz w:val="18"/>
        </w:rPr>
        <w:t xml:space="preserve"> 89-99.</w:t>
      </w:r>
    </w:p>
    <w:p w14:paraId="4A5E34C6" w14:textId="163CA3C4" w:rsidR="00E978DC" w:rsidRPr="002F183A" w:rsidRDefault="00E978DC" w:rsidP="00E978DC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>
        <w:rPr>
          <w:sz w:val="18"/>
        </w:rPr>
        <w:t>Sodeifian</w:t>
      </w:r>
      <w:proofErr w:type="spellEnd"/>
      <w:r>
        <w:rPr>
          <w:sz w:val="18"/>
        </w:rPr>
        <w:t xml:space="preserve"> G, </w:t>
      </w:r>
      <w:proofErr w:type="spellStart"/>
      <w:r>
        <w:rPr>
          <w:sz w:val="18"/>
        </w:rPr>
        <w:t>Alwi</w:t>
      </w:r>
      <w:proofErr w:type="spellEnd"/>
      <w:r>
        <w:rPr>
          <w:sz w:val="18"/>
        </w:rPr>
        <w:t xml:space="preserve"> RS, </w:t>
      </w:r>
      <w:proofErr w:type="spellStart"/>
      <w:r>
        <w:rPr>
          <w:sz w:val="18"/>
        </w:rPr>
        <w:t>Razmimanesh</w:t>
      </w:r>
      <w:proofErr w:type="spellEnd"/>
      <w:r>
        <w:rPr>
          <w:sz w:val="18"/>
        </w:rPr>
        <w:t xml:space="preserve"> F, </w:t>
      </w:r>
      <w:proofErr w:type="spellStart"/>
      <w:r>
        <w:rPr>
          <w:sz w:val="18"/>
        </w:rPr>
        <w:t>Abadian</w:t>
      </w:r>
      <w:proofErr w:type="spellEnd"/>
      <w:r>
        <w:rPr>
          <w:sz w:val="18"/>
        </w:rPr>
        <w:t xml:space="preserve"> M (2022)</w:t>
      </w:r>
      <w:r w:rsidRPr="00E978DC">
        <w:rPr>
          <w:sz w:val="18"/>
        </w:rPr>
        <w:t xml:space="preserve"> Solubility of </w:t>
      </w:r>
      <w:proofErr w:type="spellStart"/>
      <w:r w:rsidRPr="00E978DC">
        <w:rPr>
          <w:sz w:val="18"/>
        </w:rPr>
        <w:t>Dasatinib</w:t>
      </w:r>
      <w:proofErr w:type="spellEnd"/>
      <w:r w:rsidRPr="00E978DC">
        <w:rPr>
          <w:sz w:val="18"/>
        </w:rPr>
        <w:t xml:space="preserve"> monohydrate (anticancer drug) in supercritical CO</w:t>
      </w:r>
      <w:r w:rsidRPr="00E978DC">
        <w:rPr>
          <w:sz w:val="18"/>
          <w:vertAlign w:val="subscript"/>
        </w:rPr>
        <w:t>2</w:t>
      </w:r>
      <w:r w:rsidRPr="00E978DC">
        <w:rPr>
          <w:sz w:val="18"/>
        </w:rPr>
        <w:t>: Experimental and thermodynamic modelin</w:t>
      </w:r>
      <w:r>
        <w:rPr>
          <w:sz w:val="18"/>
        </w:rPr>
        <w:t>g. Journal of Molecular Liquids 346:</w:t>
      </w:r>
      <w:r w:rsidRPr="00E978DC">
        <w:rPr>
          <w:sz w:val="18"/>
        </w:rPr>
        <w:t xml:space="preserve"> 117899.</w:t>
      </w:r>
    </w:p>
    <w:p w14:paraId="066B05D3" w14:textId="3D7C693D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5662D6E9" w14:textId="2839C37D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w:lastRenderedPageBreak/>
        <mc:AlternateContent>
          <mc:Choice Requires="wpg">
            <w:drawing>
              <wp:inline distT="0" distB="0" distL="0" distR="0" wp14:anchorId="7778F2D2" wp14:editId="0046054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45FB7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8DB7D9D" w14:textId="45D8D021" w:rsidR="00AE3E37" w:rsidRDefault="006A3379" w:rsidP="00BE75F4">
      <w:pPr>
        <w:spacing w:before="92"/>
        <w:ind w:right="4234"/>
        <w:rPr>
          <w:rFonts w:ascii="Arial"/>
        </w:rPr>
      </w:pPr>
      <w:r>
        <w:rPr>
          <w:b/>
          <w:noProof/>
          <w:color w:val="0000FF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2C7C6C2B" wp14:editId="57A53EDC">
            <wp:simplePos x="0" y="0"/>
            <wp:positionH relativeFrom="margin">
              <wp:posOffset>5593715</wp:posOffset>
            </wp:positionH>
            <wp:positionV relativeFrom="margin">
              <wp:posOffset>7476490</wp:posOffset>
            </wp:positionV>
            <wp:extent cx="812165" cy="827405"/>
            <wp:effectExtent l="0" t="0" r="698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RMDANUn.tif"/>
                    <pic:cNvPicPr/>
                  </pic:nvPicPr>
                  <pic:blipFill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16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047ADB">
        <w:rPr>
          <w:rFonts w:asciiTheme="majorBidi" w:hAnsiTheme="majorBidi" w:cstheme="majorBidi"/>
          <w:b/>
          <w:bCs/>
          <w:noProof/>
          <w:lang w:val="en-IN" w:eastAsia="en-IN"/>
        </w:rPr>
        <w:drawing>
          <wp:inline distT="0" distB="0" distL="0" distR="0" wp14:anchorId="765563BB" wp14:editId="4D8D61BA">
            <wp:extent cx="628200" cy="848860"/>
            <wp:effectExtent l="0" t="0" r="63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پروفسور غلامحسین صدیفیان-پنجم-تیرماه-14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00" cy="84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7ADB">
        <w:rPr>
          <w:noProof/>
        </w:rPr>
        <w:t xml:space="preserve"> </w:t>
      </w:r>
    </w:p>
    <w:p w14:paraId="076EC921" w14:textId="6F88F609" w:rsidR="00AE3E37" w:rsidRDefault="00047ADB" w:rsidP="0098246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47ADB">
        <w:rPr>
          <w:rFonts w:ascii="Arial"/>
          <w:sz w:val="14"/>
        </w:rPr>
        <w:t>Prof. Dr. Gholamhossein Sodeifian (1971) graduated in chemical engineering (M.S) from University of Tehran, in 1997 and received his doctorate (</w:t>
      </w:r>
      <w:proofErr w:type="spellStart"/>
      <w:r w:rsidRPr="00047ADB">
        <w:rPr>
          <w:rFonts w:ascii="Arial"/>
          <w:sz w:val="14"/>
        </w:rPr>
        <w:t>Ph.D</w:t>
      </w:r>
      <w:proofErr w:type="spellEnd"/>
      <w:r w:rsidRPr="00047ADB">
        <w:rPr>
          <w:rFonts w:ascii="Arial"/>
          <w:sz w:val="14"/>
        </w:rPr>
        <w:t xml:space="preserve">), in polymer engineering from </w:t>
      </w:r>
      <w:proofErr w:type="spellStart"/>
      <w:r w:rsidRPr="00047ADB">
        <w:rPr>
          <w:rFonts w:ascii="Arial"/>
          <w:sz w:val="14"/>
        </w:rPr>
        <w:t>Tarbiat</w:t>
      </w:r>
      <w:proofErr w:type="spellEnd"/>
      <w:r w:rsidRPr="00047ADB">
        <w:rPr>
          <w:rFonts w:ascii="Arial"/>
          <w:sz w:val="14"/>
        </w:rPr>
        <w:t xml:space="preserve"> </w:t>
      </w:r>
      <w:proofErr w:type="spellStart"/>
      <w:r w:rsidRPr="00047ADB">
        <w:rPr>
          <w:rFonts w:ascii="Arial"/>
          <w:sz w:val="14"/>
        </w:rPr>
        <w:t>Modares</w:t>
      </w:r>
      <w:proofErr w:type="spellEnd"/>
      <w:r w:rsidRPr="00047ADB">
        <w:rPr>
          <w:rFonts w:ascii="Arial"/>
          <w:sz w:val="14"/>
        </w:rPr>
        <w:t xml:space="preserve"> University, Tehran, in 2002. </w:t>
      </w:r>
      <w:r w:rsidR="00CB3DDE">
        <w:rPr>
          <w:rFonts w:ascii="Arial"/>
          <w:sz w:val="14"/>
        </w:rPr>
        <w:t xml:space="preserve">Prof. Sodeifian is currently academic member of Chemical Engineering Department of University of Kashan. </w:t>
      </w:r>
      <w:r w:rsidRPr="00047ADB">
        <w:rPr>
          <w:rFonts w:ascii="Arial"/>
          <w:sz w:val="14"/>
        </w:rPr>
        <w:t xml:space="preserve">His research group focused on extraction of essential and seed oils, solubility measurement of solid medicines, </w:t>
      </w:r>
      <w:r w:rsidR="00C61D36" w:rsidRPr="00047ADB">
        <w:rPr>
          <w:rFonts w:ascii="Arial"/>
          <w:sz w:val="14"/>
        </w:rPr>
        <w:t>and micro</w:t>
      </w:r>
      <w:r w:rsidRPr="00047ADB">
        <w:rPr>
          <w:rFonts w:ascii="Arial"/>
          <w:sz w:val="14"/>
        </w:rPr>
        <w:t>- and nanoparticle formation of pharmaceutical materials in supercritical carbon dioxide (SCCO</w:t>
      </w:r>
      <w:r w:rsidRPr="00091AD7">
        <w:rPr>
          <w:rFonts w:ascii="Arial"/>
          <w:sz w:val="14"/>
          <w:vertAlign w:val="subscript"/>
        </w:rPr>
        <w:t>2</w:t>
      </w:r>
      <w:r w:rsidRPr="00047ADB">
        <w:rPr>
          <w:rFonts w:ascii="Arial"/>
          <w:sz w:val="14"/>
        </w:rPr>
        <w:t xml:space="preserve">) via various methods. He has also developed, for the first time in the world, a new and efficient technique for nanoparticle formation, i.e., </w:t>
      </w:r>
      <w:r w:rsidRPr="00F8713A">
        <w:rPr>
          <w:rFonts w:ascii="Arial"/>
          <w:i/>
          <w:iCs/>
          <w:sz w:val="14"/>
        </w:rPr>
        <w:t>ultrasonic assisted rapid expansion of supercritical solution into a liquid solvent (US-RESOLV)</w:t>
      </w:r>
      <w:r w:rsidRPr="00047ADB">
        <w:rPr>
          <w:rFonts w:ascii="Arial"/>
          <w:sz w:val="14"/>
        </w:rPr>
        <w:t>. He has published more than 8</w:t>
      </w:r>
      <w:r w:rsidR="00CB3DDE">
        <w:rPr>
          <w:rFonts w:ascii="Arial"/>
          <w:sz w:val="14"/>
        </w:rPr>
        <w:t>3</w:t>
      </w:r>
      <w:r w:rsidRPr="00047ADB">
        <w:rPr>
          <w:rFonts w:ascii="Arial"/>
          <w:sz w:val="14"/>
        </w:rPr>
        <w:t xml:space="preserve"> ISI scientific paper</w:t>
      </w:r>
      <w:r w:rsidR="0098246C">
        <w:rPr>
          <w:rFonts w:ascii="Arial"/>
          <w:sz w:val="14"/>
        </w:rPr>
        <w:t>s</w:t>
      </w:r>
      <w:r w:rsidRPr="00047ADB">
        <w:rPr>
          <w:rFonts w:ascii="Arial"/>
          <w:sz w:val="14"/>
        </w:rPr>
        <w:t xml:space="preserve"> and </w:t>
      </w:r>
      <w:r w:rsidR="0098246C">
        <w:rPr>
          <w:rFonts w:ascii="Arial"/>
          <w:sz w:val="14"/>
        </w:rPr>
        <w:t xml:space="preserve">several books. Furthermore, he has developed </w:t>
      </w:r>
      <w:proofErr w:type="spellStart"/>
      <w:r w:rsidR="0098246C">
        <w:rPr>
          <w:rFonts w:ascii="Arial"/>
          <w:sz w:val="14"/>
        </w:rPr>
        <w:t>Sodeifian</w:t>
      </w:r>
      <w:r w:rsidR="0098246C">
        <w:rPr>
          <w:rFonts w:ascii="Arial"/>
          <w:sz w:val="14"/>
        </w:rPr>
        <w:t>’</w:t>
      </w:r>
      <w:r w:rsidR="0098246C">
        <w:rPr>
          <w:rFonts w:ascii="Arial"/>
          <w:sz w:val="14"/>
        </w:rPr>
        <w:t>s</w:t>
      </w:r>
      <w:proofErr w:type="spellEnd"/>
      <w:r w:rsidR="0098246C">
        <w:rPr>
          <w:rFonts w:ascii="Arial"/>
          <w:sz w:val="14"/>
        </w:rPr>
        <w:t xml:space="preserve"> model for drugs solubility. Prof. Sodeifian has been assigned and included</w:t>
      </w:r>
      <w:r w:rsidRPr="00047ADB">
        <w:rPr>
          <w:rFonts w:ascii="Arial"/>
          <w:sz w:val="14"/>
        </w:rPr>
        <w:t xml:space="preserve"> in the worlds</w:t>
      </w:r>
      <w:r w:rsidRPr="00047ADB">
        <w:rPr>
          <w:rFonts w:ascii="Arial"/>
          <w:sz w:val="14"/>
        </w:rPr>
        <w:t>’</w:t>
      </w:r>
      <w:r w:rsidRPr="00047ADB">
        <w:rPr>
          <w:rFonts w:ascii="Arial"/>
          <w:sz w:val="14"/>
        </w:rPr>
        <w:t xml:space="preserve"> top 2% of scientists list in 2021</w:t>
      </w:r>
      <w:r w:rsidR="0098246C">
        <w:rPr>
          <w:rFonts w:ascii="Arial"/>
          <w:sz w:val="14"/>
        </w:rPr>
        <w:t xml:space="preserve"> and </w:t>
      </w:r>
      <w:r w:rsidRPr="00047ADB">
        <w:rPr>
          <w:rFonts w:ascii="Arial"/>
          <w:sz w:val="14"/>
        </w:rPr>
        <w:t>2022.</w:t>
      </w:r>
    </w:p>
    <w:p w14:paraId="72E22401" w14:textId="77777777" w:rsidR="00F8713A" w:rsidRDefault="00F8713A">
      <w:pPr>
        <w:spacing w:before="62"/>
        <w:ind w:left="4217" w:right="4235"/>
        <w:jc w:val="center"/>
        <w:rPr>
          <w:rFonts w:ascii="Arial"/>
          <w:sz w:val="14"/>
        </w:rPr>
      </w:pPr>
    </w:p>
    <w:p w14:paraId="4026A957" w14:textId="40202F65" w:rsidR="00AE3E37" w:rsidRPr="00CB3DDE" w:rsidRDefault="00A9710C">
      <w:pPr>
        <w:spacing w:before="62"/>
        <w:ind w:left="4217" w:right="4235"/>
        <w:jc w:val="center"/>
        <w:rPr>
          <w:rStyle w:val="Hyperlink"/>
        </w:rPr>
      </w:pPr>
      <w:r>
        <w:rPr>
          <w:rFonts w:ascii="Arial"/>
          <w:sz w:val="14"/>
        </w:rPr>
        <w:t xml:space="preserve">Email: </w:t>
      </w:r>
      <w:r w:rsidR="00047ADB" w:rsidRPr="00CB3DDE">
        <w:rPr>
          <w:rStyle w:val="Hyperlink"/>
          <w:rFonts w:asciiTheme="minorBidi" w:hAnsiTheme="minorBidi" w:cstheme="minorBidi"/>
          <w:sz w:val="16"/>
          <w:szCs w:val="16"/>
        </w:rPr>
        <w:t>sodeifian@kashanu.ac.ir</w:t>
      </w:r>
    </w:p>
    <w:p w14:paraId="5D6EBC50" w14:textId="136DC3F6" w:rsidR="00AE3E37" w:rsidRPr="00227485" w:rsidRDefault="00292ED9" w:rsidP="00227485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CE650AB" wp14:editId="0AB194C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7DAD06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7B61B8E" w14:textId="7DC67447" w:rsidR="00AE3E37" w:rsidRDefault="00AE3E37">
      <w:pPr>
        <w:rPr>
          <w:rFonts w:ascii="Minion Pro"/>
          <w:sz w:val="24"/>
        </w:rPr>
      </w:pPr>
    </w:p>
    <w:p w14:paraId="67E3B0B9" w14:textId="77777777" w:rsidR="00CB3DDE" w:rsidRPr="0013708E" w:rsidRDefault="00CB3DDE" w:rsidP="00CB3DDE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24FF8E96" w14:textId="29436985" w:rsidR="00CB3DDE" w:rsidRPr="0013708E" w:rsidRDefault="00CB3DDE" w:rsidP="00CB3DDE">
      <w:pPr>
        <w:jc w:val="both"/>
      </w:pPr>
      <w:r w:rsidRPr="0013708E">
        <w:t xml:space="preserve">Full name: </w:t>
      </w:r>
      <w:proofErr w:type="spellStart"/>
      <w:r>
        <w:t>Gholamhossein</w:t>
      </w:r>
      <w:proofErr w:type="spellEnd"/>
      <w:r>
        <w:t xml:space="preserve"> </w:t>
      </w:r>
      <w:proofErr w:type="spellStart"/>
      <w:r>
        <w:t>Sodeifian</w:t>
      </w:r>
      <w:proofErr w:type="spellEnd"/>
    </w:p>
    <w:p w14:paraId="7B0DE11D" w14:textId="4BC8B5A4" w:rsidR="00CB3DDE" w:rsidRDefault="00CB3DDE" w:rsidP="00CB3DDE">
      <w:pPr>
        <w:jc w:val="both"/>
      </w:pPr>
      <w:r w:rsidRPr="0013708E">
        <w:t>Contact number:</w:t>
      </w:r>
      <w:r>
        <w:t xml:space="preserve"> +98213155913393</w:t>
      </w:r>
    </w:p>
    <w:p w14:paraId="5E820075" w14:textId="6BDD954E" w:rsidR="00CB3DDE" w:rsidRPr="0013708E" w:rsidRDefault="00CB3DDE" w:rsidP="00CB3DDE">
      <w:pPr>
        <w:jc w:val="both"/>
      </w:pPr>
      <w:r>
        <w:t>Mail id: sodeifian@kashanu.ac.ir</w:t>
      </w:r>
    </w:p>
    <w:p w14:paraId="3C586A23" w14:textId="7FBB6CEF" w:rsidR="00CB3DDE" w:rsidRDefault="00CB3DDE" w:rsidP="00CB3DDE">
      <w:pPr>
        <w:jc w:val="both"/>
      </w:pPr>
      <w:r w:rsidRPr="0013708E">
        <w:t xml:space="preserve">Category: </w:t>
      </w:r>
      <w:r>
        <w:t>O</w:t>
      </w:r>
      <w:r w:rsidRPr="0013708E">
        <w:t>ral presentation</w:t>
      </w:r>
      <w:r>
        <w:t xml:space="preserve"> </w:t>
      </w:r>
    </w:p>
    <w:p w14:paraId="4167BD48" w14:textId="77777777" w:rsidR="00CB3DDE" w:rsidRDefault="00CB3DDE">
      <w:pPr>
        <w:rPr>
          <w:rFonts w:ascii="Minion Pro"/>
          <w:sz w:val="24"/>
        </w:rPr>
        <w:sectPr w:rsidR="00CB3DDE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04BC078" w14:textId="77777777" w:rsidR="00F046EA" w:rsidRPr="00F8713A" w:rsidRDefault="00F046EA" w:rsidP="00F046EA">
      <w:pPr>
        <w:jc w:val="both"/>
        <w:rPr>
          <w:b/>
          <w:highlight w:val="yellow"/>
        </w:rPr>
      </w:pPr>
      <w:r w:rsidRPr="00F8713A">
        <w:rPr>
          <w:b/>
          <w:highlight w:val="yellow"/>
        </w:rPr>
        <w:lastRenderedPageBreak/>
        <w:t xml:space="preserve">Presenting author details </w:t>
      </w:r>
    </w:p>
    <w:p w14:paraId="2523AA0A" w14:textId="77777777" w:rsidR="00F046EA" w:rsidRPr="00F8713A" w:rsidRDefault="00F046EA" w:rsidP="00F046EA">
      <w:pPr>
        <w:jc w:val="both"/>
        <w:rPr>
          <w:highlight w:val="yellow"/>
        </w:rPr>
      </w:pPr>
      <w:r w:rsidRPr="00F8713A">
        <w:rPr>
          <w:highlight w:val="yellow"/>
        </w:rPr>
        <w:t xml:space="preserve">Full name: </w:t>
      </w:r>
    </w:p>
    <w:p w14:paraId="643F1194" w14:textId="77777777" w:rsidR="00F046EA" w:rsidRPr="00F8713A" w:rsidRDefault="00F046EA" w:rsidP="00F046EA">
      <w:pPr>
        <w:jc w:val="both"/>
        <w:rPr>
          <w:highlight w:val="yellow"/>
        </w:rPr>
      </w:pPr>
      <w:r w:rsidRPr="00F8713A">
        <w:rPr>
          <w:highlight w:val="yellow"/>
        </w:rPr>
        <w:t>Contact number:</w:t>
      </w:r>
    </w:p>
    <w:p w14:paraId="629253B3" w14:textId="77777777" w:rsidR="00F046EA" w:rsidRPr="00F8713A" w:rsidRDefault="00F046EA" w:rsidP="00F046EA">
      <w:pPr>
        <w:jc w:val="both"/>
        <w:rPr>
          <w:highlight w:val="yellow"/>
        </w:rPr>
      </w:pPr>
      <w:r w:rsidRPr="00F8713A">
        <w:rPr>
          <w:highlight w:val="yellow"/>
        </w:rPr>
        <w:t xml:space="preserve">Mail id: </w:t>
      </w:r>
    </w:p>
    <w:p w14:paraId="22A1DA50" w14:textId="77777777" w:rsidR="00F046EA" w:rsidRDefault="00F046EA" w:rsidP="00F046EA">
      <w:pPr>
        <w:jc w:val="both"/>
      </w:pPr>
      <w:r w:rsidRPr="00F8713A">
        <w:rPr>
          <w:highlight w:val="yellow"/>
        </w:rPr>
        <w:t>Category: (Oral presentation/ Poster presentation)</w:t>
      </w:r>
      <w:r>
        <w:t xml:space="preserve"> </w:t>
      </w:r>
    </w:p>
    <w:p w14:paraId="3640F233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DBD929" w14:textId="77777777" w:rsidR="00F15DF5" w:rsidRDefault="00F15DF5">
      <w:r>
        <w:separator/>
      </w:r>
    </w:p>
  </w:endnote>
  <w:endnote w:type="continuationSeparator" w:id="0">
    <w:p w14:paraId="2D313502" w14:textId="77777777" w:rsidR="00F15DF5" w:rsidRDefault="00F15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DC64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54C86F9" wp14:editId="23E2E69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36D4F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A94BD0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54C86F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6836D4F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A94BD0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2B5B494" wp14:editId="1FDD7DA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F697D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52CD08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52B5B494" 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0EF697D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52CD08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F2AABD1" wp14:editId="730E283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476D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4EF642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0F2AABD1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2F2476D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4EF642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C1BBC2" w14:textId="77777777" w:rsidR="00F15DF5" w:rsidRDefault="00F15DF5">
      <w:r>
        <w:separator/>
      </w:r>
    </w:p>
  </w:footnote>
  <w:footnote w:type="continuationSeparator" w:id="0">
    <w:p w14:paraId="3C3E7BD2" w14:textId="77777777" w:rsidR="00F15DF5" w:rsidRDefault="00F15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0B46"/>
    <w:rsid w:val="00047ADB"/>
    <w:rsid w:val="00084CFF"/>
    <w:rsid w:val="00091AD7"/>
    <w:rsid w:val="000C4D08"/>
    <w:rsid w:val="000E2911"/>
    <w:rsid w:val="0011034A"/>
    <w:rsid w:val="001263DF"/>
    <w:rsid w:val="00135007"/>
    <w:rsid w:val="00154C4D"/>
    <w:rsid w:val="00187697"/>
    <w:rsid w:val="002166A4"/>
    <w:rsid w:val="00227485"/>
    <w:rsid w:val="0025173C"/>
    <w:rsid w:val="00270832"/>
    <w:rsid w:val="00292ED9"/>
    <w:rsid w:val="002F183A"/>
    <w:rsid w:val="00327986"/>
    <w:rsid w:val="0033537F"/>
    <w:rsid w:val="00340081"/>
    <w:rsid w:val="00351D9B"/>
    <w:rsid w:val="0037531A"/>
    <w:rsid w:val="00380299"/>
    <w:rsid w:val="003B6E9A"/>
    <w:rsid w:val="003D0D57"/>
    <w:rsid w:val="003E21F3"/>
    <w:rsid w:val="00404E5B"/>
    <w:rsid w:val="00414D6E"/>
    <w:rsid w:val="00414F7B"/>
    <w:rsid w:val="004355DC"/>
    <w:rsid w:val="004749B4"/>
    <w:rsid w:val="00494130"/>
    <w:rsid w:val="004F3523"/>
    <w:rsid w:val="00531D00"/>
    <w:rsid w:val="00551E7D"/>
    <w:rsid w:val="00563AE3"/>
    <w:rsid w:val="005850DF"/>
    <w:rsid w:val="005973B9"/>
    <w:rsid w:val="005A138D"/>
    <w:rsid w:val="005B3A56"/>
    <w:rsid w:val="005F581E"/>
    <w:rsid w:val="006060CE"/>
    <w:rsid w:val="0061505C"/>
    <w:rsid w:val="00624780"/>
    <w:rsid w:val="0063497F"/>
    <w:rsid w:val="0063555D"/>
    <w:rsid w:val="006A3379"/>
    <w:rsid w:val="00714354"/>
    <w:rsid w:val="007A15E1"/>
    <w:rsid w:val="007D5F86"/>
    <w:rsid w:val="00862150"/>
    <w:rsid w:val="00873DF0"/>
    <w:rsid w:val="008756E6"/>
    <w:rsid w:val="00896751"/>
    <w:rsid w:val="00897EC5"/>
    <w:rsid w:val="008E5477"/>
    <w:rsid w:val="00925D8F"/>
    <w:rsid w:val="00982315"/>
    <w:rsid w:val="0098246C"/>
    <w:rsid w:val="009B2D44"/>
    <w:rsid w:val="00A07E82"/>
    <w:rsid w:val="00A2517D"/>
    <w:rsid w:val="00A450D9"/>
    <w:rsid w:val="00A52075"/>
    <w:rsid w:val="00A6523C"/>
    <w:rsid w:val="00A9710C"/>
    <w:rsid w:val="00AE3E37"/>
    <w:rsid w:val="00AE4200"/>
    <w:rsid w:val="00B14491"/>
    <w:rsid w:val="00B21A57"/>
    <w:rsid w:val="00B309CA"/>
    <w:rsid w:val="00B802E5"/>
    <w:rsid w:val="00B91815"/>
    <w:rsid w:val="00BB2220"/>
    <w:rsid w:val="00BD71D2"/>
    <w:rsid w:val="00BE75F4"/>
    <w:rsid w:val="00C33602"/>
    <w:rsid w:val="00C56C74"/>
    <w:rsid w:val="00C61D36"/>
    <w:rsid w:val="00CB3DDE"/>
    <w:rsid w:val="00CD6F55"/>
    <w:rsid w:val="00CE1EEC"/>
    <w:rsid w:val="00CF6221"/>
    <w:rsid w:val="00D04A15"/>
    <w:rsid w:val="00D327D9"/>
    <w:rsid w:val="00DE3104"/>
    <w:rsid w:val="00DE6170"/>
    <w:rsid w:val="00DF2491"/>
    <w:rsid w:val="00E30AAC"/>
    <w:rsid w:val="00E34E3E"/>
    <w:rsid w:val="00E5205C"/>
    <w:rsid w:val="00E81387"/>
    <w:rsid w:val="00E95D97"/>
    <w:rsid w:val="00E978DC"/>
    <w:rsid w:val="00EA2764"/>
    <w:rsid w:val="00EC2EE1"/>
    <w:rsid w:val="00EE0E25"/>
    <w:rsid w:val="00F046EA"/>
    <w:rsid w:val="00F15DF5"/>
    <w:rsid w:val="00F40585"/>
    <w:rsid w:val="00F72EEA"/>
    <w:rsid w:val="00F84CAE"/>
    <w:rsid w:val="00F86CEC"/>
    <w:rsid w:val="00F8713A"/>
    <w:rsid w:val="00FA41DE"/>
    <w:rsid w:val="00FF1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FBA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091A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091A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smoothMarker"/>
        <c:varyColors val="0"/>
        <c:ser>
          <c:idx val="0"/>
          <c:order val="0"/>
          <c:tx>
            <c:v>308 K</c:v>
          </c:tx>
          <c:spPr>
            <a:ln w="19050" cap="rnd" cmpd="dbl">
              <a:solidFill>
                <a:schemeClr val="accent1">
                  <a:lumMod val="75000"/>
                </a:schemeClr>
              </a:solidFill>
              <a:prstDash val="solid"/>
              <a:round/>
            </a:ln>
            <a:effectLst/>
          </c:spPr>
          <c:marker>
            <c:symbol val="circle"/>
            <c:size val="3"/>
            <c:spPr>
              <a:solidFill>
                <a:schemeClr val="accent1">
                  <a:lumMod val="75000"/>
                </a:schemeClr>
              </a:solidFill>
              <a:ln w="9525">
                <a:solidFill>
                  <a:srgbClr val="0070C0"/>
                </a:solidFill>
              </a:ln>
              <a:effectLst/>
            </c:spPr>
          </c:marker>
          <c:xVal>
            <c:numRef>
              <c:f>'[sildenafil citrate-sajadian 1.xlsx]Sheet1'!$B$2:$B$7</c:f>
              <c:numCache>
                <c:formatCode>General</c:formatCode>
                <c:ptCount val="6"/>
                <c:pt idx="0">
                  <c:v>120</c:v>
                </c:pt>
                <c:pt idx="1">
                  <c:v>150</c:v>
                </c:pt>
                <c:pt idx="2">
                  <c:v>180</c:v>
                </c:pt>
                <c:pt idx="3">
                  <c:v>210</c:v>
                </c:pt>
                <c:pt idx="4">
                  <c:v>240</c:v>
                </c:pt>
                <c:pt idx="5">
                  <c:v>270</c:v>
                </c:pt>
              </c:numCache>
            </c:numRef>
          </c:xVal>
          <c:yVal>
            <c:numRef>
              <c:f>'[sildenafil citrate-sajadian 1.xlsx]Sheet1'!$A$2:$A$7</c:f>
              <c:numCache>
                <c:formatCode>General</c:formatCode>
                <c:ptCount val="6"/>
                <c:pt idx="0">
                  <c:v>1.91</c:v>
                </c:pt>
                <c:pt idx="1">
                  <c:v>2.2999999999999998</c:v>
                </c:pt>
                <c:pt idx="2">
                  <c:v>3.4</c:v>
                </c:pt>
                <c:pt idx="3">
                  <c:v>4.0999999999999996</c:v>
                </c:pt>
                <c:pt idx="4">
                  <c:v>4.25</c:v>
                </c:pt>
                <c:pt idx="5">
                  <c:v>4.93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3322-4000-853E-0B6F404027B4}"/>
            </c:ext>
          </c:extLst>
        </c:ser>
        <c:ser>
          <c:idx val="1"/>
          <c:order val="1"/>
          <c:tx>
            <c:v>318 K</c:v>
          </c:tx>
          <c:spPr>
            <a:ln w="19050" cap="rnd" cmpd="dbl">
              <a:solidFill>
                <a:schemeClr val="accent2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accent2">
                  <a:lumMod val="75000"/>
                </a:schemeClr>
              </a:solidFill>
              <a:ln w="9525">
                <a:solidFill>
                  <a:schemeClr val="accent2">
                    <a:lumMod val="75000"/>
                  </a:schemeClr>
                </a:solidFill>
              </a:ln>
              <a:effectLst/>
            </c:spPr>
          </c:marker>
          <c:xVal>
            <c:numRef>
              <c:f>'[sildenafil citrate-sajadian 1.xlsx]Sheet1'!$B$8:$B$13</c:f>
              <c:numCache>
                <c:formatCode>General</c:formatCode>
                <c:ptCount val="6"/>
                <c:pt idx="0">
                  <c:v>120</c:v>
                </c:pt>
                <c:pt idx="1">
                  <c:v>150</c:v>
                </c:pt>
                <c:pt idx="2">
                  <c:v>180</c:v>
                </c:pt>
                <c:pt idx="3">
                  <c:v>210</c:v>
                </c:pt>
                <c:pt idx="4">
                  <c:v>240</c:v>
                </c:pt>
                <c:pt idx="5">
                  <c:v>270</c:v>
                </c:pt>
              </c:numCache>
            </c:numRef>
          </c:xVal>
          <c:yVal>
            <c:numRef>
              <c:f>'[sildenafil citrate-sajadian 1.xlsx]Sheet1'!$A$8:$A$13</c:f>
              <c:numCache>
                <c:formatCode>General</c:formatCode>
                <c:ptCount val="6"/>
                <c:pt idx="0">
                  <c:v>1.02</c:v>
                </c:pt>
                <c:pt idx="1">
                  <c:v>1.98</c:v>
                </c:pt>
                <c:pt idx="2">
                  <c:v>3.11</c:v>
                </c:pt>
                <c:pt idx="3">
                  <c:v>3.66</c:v>
                </c:pt>
                <c:pt idx="4">
                  <c:v>4.3899999999999997</c:v>
                </c:pt>
                <c:pt idx="5">
                  <c:v>5.16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3322-4000-853E-0B6F404027B4}"/>
            </c:ext>
          </c:extLst>
        </c:ser>
        <c:ser>
          <c:idx val="2"/>
          <c:order val="2"/>
          <c:tx>
            <c:v>328 K</c:v>
          </c:tx>
          <c:spPr>
            <a:ln w="19050" cap="rnd" cmpd="dbl">
              <a:solidFill>
                <a:schemeClr val="accent3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accent3">
                  <a:lumMod val="75000"/>
                </a:schemeClr>
              </a:solidFill>
              <a:ln w="9525">
                <a:solidFill>
                  <a:schemeClr val="accent3">
                    <a:lumMod val="75000"/>
                  </a:schemeClr>
                </a:solidFill>
              </a:ln>
              <a:effectLst/>
            </c:spPr>
          </c:marker>
          <c:xVal>
            <c:numRef>
              <c:f>'[sildenafil citrate-sajadian 1.xlsx]Sheet1'!$B$14:$B$19</c:f>
              <c:numCache>
                <c:formatCode>General</c:formatCode>
                <c:ptCount val="6"/>
                <c:pt idx="0">
                  <c:v>120</c:v>
                </c:pt>
                <c:pt idx="1">
                  <c:v>150</c:v>
                </c:pt>
                <c:pt idx="2">
                  <c:v>180</c:v>
                </c:pt>
                <c:pt idx="3">
                  <c:v>210</c:v>
                </c:pt>
                <c:pt idx="4">
                  <c:v>240</c:v>
                </c:pt>
                <c:pt idx="5">
                  <c:v>270</c:v>
                </c:pt>
              </c:numCache>
            </c:numRef>
          </c:xVal>
          <c:yVal>
            <c:numRef>
              <c:f>'[sildenafil citrate-sajadian 1.xlsx]Sheet1'!$A$14:$A$19</c:f>
              <c:numCache>
                <c:formatCode>General</c:formatCode>
                <c:ptCount val="6"/>
                <c:pt idx="0">
                  <c:v>0.39</c:v>
                </c:pt>
                <c:pt idx="1">
                  <c:v>1.1000000000000001</c:v>
                </c:pt>
                <c:pt idx="2">
                  <c:v>2.2999999999999998</c:v>
                </c:pt>
                <c:pt idx="3">
                  <c:v>3.16</c:v>
                </c:pt>
                <c:pt idx="4">
                  <c:v>4.66</c:v>
                </c:pt>
                <c:pt idx="5">
                  <c:v>5.59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3322-4000-853E-0B6F404027B4}"/>
            </c:ext>
          </c:extLst>
        </c:ser>
        <c:ser>
          <c:idx val="3"/>
          <c:order val="3"/>
          <c:tx>
            <c:v>338 K</c:v>
          </c:tx>
          <c:spPr>
            <a:ln w="19050" cap="rnd" cmpd="dbl">
              <a:solidFill>
                <a:schemeClr val="accent4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accent4">
                  <a:lumMod val="75000"/>
                </a:schemeClr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'[sildenafil citrate-sajadian 1.xlsx]Sheet1'!$B$20:$B$25</c:f>
              <c:numCache>
                <c:formatCode>General</c:formatCode>
                <c:ptCount val="6"/>
                <c:pt idx="0">
                  <c:v>120</c:v>
                </c:pt>
                <c:pt idx="1">
                  <c:v>150</c:v>
                </c:pt>
                <c:pt idx="2">
                  <c:v>180</c:v>
                </c:pt>
                <c:pt idx="3">
                  <c:v>210</c:v>
                </c:pt>
                <c:pt idx="4">
                  <c:v>240</c:v>
                </c:pt>
                <c:pt idx="5">
                  <c:v>270</c:v>
                </c:pt>
              </c:numCache>
            </c:numRef>
          </c:xVal>
          <c:yVal>
            <c:numRef>
              <c:f>'[sildenafil citrate-sajadian 1.xlsx]Sheet1'!$A$20:$A$25</c:f>
              <c:numCache>
                <c:formatCode>General</c:formatCode>
                <c:ptCount val="6"/>
                <c:pt idx="0">
                  <c:v>0.14000000000000001</c:v>
                </c:pt>
                <c:pt idx="1">
                  <c:v>0.94</c:v>
                </c:pt>
                <c:pt idx="2">
                  <c:v>1.7</c:v>
                </c:pt>
                <c:pt idx="3">
                  <c:v>2.82</c:v>
                </c:pt>
                <c:pt idx="4">
                  <c:v>4.99</c:v>
                </c:pt>
                <c:pt idx="5">
                  <c:v>5.91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3-3322-4000-853E-0B6F404027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8682560"/>
        <c:axId val="228683136"/>
      </c:scatterChart>
      <c:valAx>
        <c:axId val="228682560"/>
        <c:scaling>
          <c:orientation val="minMax"/>
          <c:max val="270"/>
          <c:min val="120"/>
        </c:scaling>
        <c:delete val="0"/>
        <c:axPos val="b"/>
        <c:majorGridlines>
          <c:spPr>
            <a:ln>
              <a:solidFill>
                <a:schemeClr val="accent4">
                  <a:lumMod val="60000"/>
                  <a:lumOff val="40000"/>
                </a:schemeClr>
              </a:solidFill>
            </a:ln>
          </c:spPr>
        </c:majorGridlines>
        <c:minorGridlines>
          <c:spPr>
            <a:ln>
              <a:solidFill>
                <a:schemeClr val="accent4">
                  <a:lumMod val="20000"/>
                  <a:lumOff val="80000"/>
                </a:schemeClr>
              </a:solidFill>
            </a:ln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chemeClr val="accent4">
                        <a:lumMod val="75000"/>
                      </a:scheme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 (bar)</a:t>
                </a:r>
              </a:p>
            </c:rich>
          </c:tx>
          <c:layout>
            <c:manualLayout>
              <c:xMode val="edge"/>
              <c:yMode val="edge"/>
              <c:x val="0.49366905738454003"/>
              <c:y val="0.8171318575553416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accent4">
                <a:lumMod val="40000"/>
                <a:lumOff val="6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28683136"/>
        <c:crosses val="autoZero"/>
        <c:crossBetween val="midCat"/>
        <c:majorUnit val="30"/>
      </c:valAx>
      <c:valAx>
        <c:axId val="228683136"/>
        <c:scaling>
          <c:orientation val="minMax"/>
          <c:max val="6.5"/>
          <c:min val="0"/>
        </c:scaling>
        <c:delete val="0"/>
        <c:axPos val="l"/>
        <c:majorGridlines>
          <c:spPr>
            <a:ln>
              <a:solidFill>
                <a:schemeClr val="accent4">
                  <a:lumMod val="40000"/>
                  <a:lumOff val="60000"/>
                </a:schemeClr>
              </a:solidFill>
            </a:ln>
          </c:spPr>
        </c:majorGridlines>
        <c:minorGridlines>
          <c:spPr>
            <a:ln w="6350">
              <a:solidFill>
                <a:schemeClr val="accent4">
                  <a:lumMod val="20000"/>
                  <a:lumOff val="80000"/>
                </a:schemeClr>
              </a:solidFill>
            </a:ln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chemeClr val="accent4">
                        <a:lumMod val="75000"/>
                      </a:scheme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y </a:t>
                </a:r>
                <a:r>
                  <a:rPr lang="en-US" sz="1000" b="0" i="0" u="none" strike="noStrike" baseline="0">
                    <a:solidFill>
                      <a:schemeClr val="accent4">
                        <a:lumMod val="75000"/>
                      </a:schemeClr>
                    </a:solidFill>
                    <a:effectLst/>
                  </a:rPr>
                  <a:t>× </a:t>
                </a:r>
                <a:r>
                  <a:rPr lang="en-US" b="1">
                    <a:solidFill>
                      <a:schemeClr val="accent4">
                        <a:lumMod val="75000"/>
                      </a:scheme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10</a:t>
                </a:r>
                <a:r>
                  <a:rPr lang="en-US" b="1" baseline="30000">
                    <a:solidFill>
                      <a:schemeClr val="accent4">
                        <a:lumMod val="75000"/>
                      </a:scheme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6</a:t>
                </a:r>
              </a:p>
            </c:rich>
          </c:tx>
          <c:layout>
            <c:manualLayout>
              <c:xMode val="edge"/>
              <c:yMode val="edge"/>
              <c:x val="5.9431522280532577E-2"/>
              <c:y val="0.2903715716959826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accent4">
                <a:lumMod val="40000"/>
                <a:lumOff val="6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28682560"/>
        <c:crosses val="autoZero"/>
        <c:crossBetween val="midCat"/>
        <c:majorUnit val="1"/>
        <c:minorUnit val="0.25"/>
      </c:valAx>
      <c:spPr>
        <a:solidFill>
          <a:schemeClr val="bg1"/>
        </a:solidFill>
        <a:ln w="9525">
          <a:solidFill>
            <a:schemeClr val="accent4">
              <a:lumMod val="40000"/>
              <a:lumOff val="60000"/>
            </a:schemeClr>
          </a:solidFill>
        </a:ln>
        <a:effectLst/>
      </c:spPr>
    </c:plotArea>
    <c:legend>
      <c:legendPos val="t"/>
      <c:layout>
        <c:manualLayout>
          <c:xMode val="edge"/>
          <c:yMode val="edge"/>
          <c:x val="0.19520106527831629"/>
          <c:y val="7.8611333003664394E-2"/>
          <c:w val="0.40269943689335724"/>
          <c:h val="0.15883956534418706"/>
        </c:manualLayout>
      </c:layout>
      <c:overlay val="1"/>
      <c:spPr>
        <a:solidFill>
          <a:schemeClr val="bg1">
            <a:alpha val="50000"/>
          </a:schemeClr>
        </a:solidFill>
        <a:ln cmpd="dbl">
          <a:noFill/>
        </a:ln>
      </c:sp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medicinalchemistry</cp:lastModifiedBy>
  <cp:revision>2</cp:revision>
  <cp:lastPrinted>2023-02-23T13:04:00Z</cp:lastPrinted>
  <dcterms:created xsi:type="dcterms:W3CDTF">2023-03-03T06:41:00Z</dcterms:created>
  <dcterms:modified xsi:type="dcterms:W3CDTF">2023-03-03T06:41:00Z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