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7B1" w:rsidRDefault="00DE57B1" w:rsidP="00DE57B1">
      <w:pPr>
        <w:pStyle w:val="Heading1"/>
        <w:ind w:left="0"/>
        <w:rPr>
          <w:rFonts w:ascii="Times New Roman" w:hAnsi="Times New Roman" w:cs="Times New Roman"/>
          <w:sz w:val="32"/>
          <w:szCs w:val="32"/>
        </w:rPr>
      </w:pPr>
      <w:r w:rsidRPr="00DE57B1">
        <w:rPr>
          <w:rFonts w:ascii="Times New Roman" w:hAnsi="Times New Roman" w:cs="Times New Roman"/>
          <w:sz w:val="32"/>
          <w:szCs w:val="32"/>
        </w:rPr>
        <w:t>HNRNPA2B1 mediated MircoRNA-92a upregulation and section acts a promising non-invasive diagnostic biomarker in colorectal cancer</w:t>
      </w:r>
    </w:p>
    <w:p w:rsidR="00DE57B1" w:rsidRDefault="00DE57B1" w:rsidP="00DE57B1">
      <w:pPr>
        <w:pStyle w:val="Heading1"/>
        <w:ind w:left="0"/>
        <w:rPr>
          <w:rFonts w:ascii="Times New Roman" w:hAnsi="Times New Roman" w:cs="Times New Roman"/>
          <w:sz w:val="32"/>
          <w:szCs w:val="32"/>
        </w:rPr>
      </w:pPr>
    </w:p>
    <w:p w:rsidR="00DE57B1" w:rsidRDefault="00DE57B1" w:rsidP="00DE57B1">
      <w:pPr>
        <w:pStyle w:val="Heading1"/>
        <w:ind w:left="0"/>
        <w:rPr>
          <w:rFonts w:ascii="Times New Roman" w:hAnsi="Times New Roman" w:cs="Times New Roman"/>
          <w:b w:val="0"/>
          <w:sz w:val="24"/>
          <w:szCs w:val="24"/>
        </w:rPr>
      </w:pPr>
      <w:proofErr w:type="spellStart"/>
      <w:r w:rsidRPr="00DE57B1">
        <w:rPr>
          <w:rFonts w:ascii="Times New Roman" w:hAnsi="Times New Roman" w:cs="Times New Roman"/>
          <w:b w:val="0"/>
          <w:sz w:val="24"/>
          <w:szCs w:val="24"/>
        </w:rPr>
        <w:t>Yiling</w:t>
      </w:r>
      <w:proofErr w:type="spellEnd"/>
      <w:r w:rsidRPr="00DE57B1">
        <w:rPr>
          <w:rFonts w:ascii="Times New Roman" w:hAnsi="Times New Roman" w:cs="Times New Roman"/>
          <w:b w:val="0"/>
          <w:sz w:val="24"/>
          <w:szCs w:val="24"/>
        </w:rPr>
        <w:t xml:space="preserve"> Li</w:t>
      </w:r>
    </w:p>
    <w:p w:rsidR="00DE57B1" w:rsidRDefault="00DE57B1" w:rsidP="00DE57B1">
      <w:pPr>
        <w:pStyle w:val="Heading1"/>
        <w:ind w:left="0"/>
        <w:rPr>
          <w:rFonts w:ascii="Times New Roman" w:hAnsi="Times New Roman" w:cs="Times New Roman"/>
          <w:b w:val="0"/>
          <w:sz w:val="24"/>
          <w:szCs w:val="24"/>
        </w:rPr>
      </w:pPr>
      <w:r w:rsidRPr="00DE57B1">
        <w:rPr>
          <w:rFonts w:ascii="Times New Roman" w:hAnsi="Times New Roman" w:cs="Times New Roman"/>
          <w:b w:val="0"/>
          <w:sz w:val="24"/>
          <w:szCs w:val="24"/>
        </w:rPr>
        <w:t>Peking Union Medical College, China</w:t>
      </w:r>
      <w:r w:rsidRPr="00DE57B1">
        <w:rPr>
          <w:rFonts w:ascii="Times New Roman" w:hAnsi="Times New Roman" w:cs="Times New Roman"/>
          <w:b w:val="0"/>
          <w:sz w:val="24"/>
          <w:szCs w:val="24"/>
        </w:rPr>
        <w:tab/>
      </w:r>
    </w:p>
    <w:p w:rsidR="00DE57B1" w:rsidRDefault="00DE57B1" w:rsidP="00DE57B1">
      <w:pPr>
        <w:pStyle w:val="Heading1"/>
        <w:ind w:left="0"/>
        <w:jc w:val="center"/>
        <w:rPr>
          <w:rFonts w:ascii="Times New Roman" w:hAnsi="Times New Roman" w:cs="Times New Roman"/>
          <w:sz w:val="28"/>
          <w:szCs w:val="28"/>
        </w:rPr>
      </w:pPr>
    </w:p>
    <w:p w:rsidR="00DE57B1" w:rsidRPr="00DE57B1" w:rsidRDefault="00DE57B1" w:rsidP="00DE57B1">
      <w:pPr>
        <w:pStyle w:val="Heading1"/>
        <w:ind w:left="0"/>
        <w:jc w:val="center"/>
        <w:rPr>
          <w:rFonts w:ascii="Times New Roman" w:hAnsi="Times New Roman" w:cs="Times New Roman"/>
          <w:sz w:val="28"/>
          <w:szCs w:val="28"/>
        </w:rPr>
      </w:pPr>
      <w:r w:rsidRPr="00DE57B1">
        <w:rPr>
          <w:rFonts w:ascii="Times New Roman" w:hAnsi="Times New Roman" w:cs="Times New Roman"/>
          <w:sz w:val="28"/>
          <w:szCs w:val="28"/>
        </w:rPr>
        <w:t>Abstract</w:t>
      </w:r>
    </w:p>
    <w:p w:rsidR="00DE57B1" w:rsidRDefault="00DE57B1" w:rsidP="00DE57B1">
      <w:pPr>
        <w:jc w:val="both"/>
        <w:rPr>
          <w:rFonts w:ascii="Times New Roman" w:hAnsi="Times New Roman" w:cs="Times New Roman"/>
          <w:sz w:val="20"/>
        </w:rPr>
      </w:pPr>
    </w:p>
    <w:p w:rsidR="00DE57B1" w:rsidRDefault="00DE57B1" w:rsidP="00DE57B1">
      <w:pPr>
        <w:jc w:val="both"/>
        <w:rPr>
          <w:rFonts w:ascii="Times New Roman" w:hAnsi="Times New Roman" w:cs="Times New Roman"/>
          <w:sz w:val="20"/>
        </w:rPr>
      </w:pPr>
      <w:r w:rsidRPr="00D92A0E">
        <w:rPr>
          <w:rFonts w:ascii="Times New Roman" w:hAnsi="Times New Roman" w:cs="Times New Roman"/>
          <w:sz w:val="20"/>
        </w:rPr>
        <w:t xml:space="preserve">MicroRNA-92a (miR-92a) may serve as a novel promising biomarker in multiple cancers including colorectal cancer (CRC). However, the diagnostic accuracy and the underlying molecular mechanism of miR-92a in CRC </w:t>
      </w:r>
      <w:proofErr w:type="gramStart"/>
      <w:r w:rsidRPr="00D92A0E">
        <w:rPr>
          <w:rFonts w:ascii="Times New Roman" w:hAnsi="Times New Roman" w:cs="Times New Roman"/>
          <w:sz w:val="20"/>
        </w:rPr>
        <w:t>is</w:t>
      </w:r>
      <w:proofErr w:type="gramEnd"/>
      <w:r w:rsidRPr="00D92A0E">
        <w:rPr>
          <w:rFonts w:ascii="Times New Roman" w:hAnsi="Times New Roman" w:cs="Times New Roman"/>
          <w:sz w:val="20"/>
        </w:rPr>
        <w:t xml:space="preserve"> poorly understood. We first carried out meta-analysis and found that serum/plasma miR-92a yield better diagnostic efficacy when compared to stool samples and CRC tissues. And this finding was validated by our independent study through stool sample. Multiple bioinformatics assay indicated that miR-92a expression was positively correlated with heterogeneous nuclear ribonucleoproteins A2/B1 (HNRNPA2B1) expression and closely related with the clinical characteristics of CRC. Experimental evidence shown that knockdown of HNRNPA2B1 could significantly decreased miR-92a expression and secretion in RKO cells. HNRNPA2B1 mediated miR-92a via with m6A RNA modification. These findings indicate that HNRNPA2B1-m6A RNA modification derived MircoRNA-92a upregulation and section from the local CRC acts a candidate non-invasive serum biomarker in colorectal cancer. Our study provides a novel insight into miR-92a mechanisms in relation to both expression and secretion for CRC diagnosis.</w:t>
      </w:r>
    </w:p>
    <w:p w:rsidR="00DE57B1" w:rsidRDefault="00DE57B1" w:rsidP="00DE57B1">
      <w:pPr>
        <w:jc w:val="both"/>
        <w:rPr>
          <w:rFonts w:ascii="Times New Roman" w:hAnsi="Times New Roman" w:cs="Times New Roman"/>
          <w:b/>
          <w:sz w:val="24"/>
        </w:rPr>
      </w:pPr>
      <w:bookmarkStart w:id="0" w:name="_GoBack"/>
      <w:bookmarkEnd w:id="0"/>
    </w:p>
    <w:p w:rsidR="00DE57B1" w:rsidRDefault="00DE57B1" w:rsidP="00DE57B1">
      <w:pPr>
        <w:jc w:val="both"/>
        <w:rPr>
          <w:rFonts w:ascii="Times New Roman" w:hAnsi="Times New Roman" w:cs="Times New Roman"/>
          <w:b/>
          <w:sz w:val="24"/>
        </w:rPr>
      </w:pPr>
      <w:r w:rsidRPr="002B797F">
        <w:rPr>
          <w:rFonts w:ascii="Times New Roman" w:hAnsi="Times New Roman" w:cs="Times New Roman"/>
          <w:b/>
          <w:sz w:val="24"/>
        </w:rPr>
        <w:t xml:space="preserve">Recent Publications </w:t>
      </w:r>
    </w:p>
    <w:p w:rsidR="00DE57B1" w:rsidRPr="00DE57B1" w:rsidRDefault="00DE57B1" w:rsidP="00DE57B1">
      <w:pPr>
        <w:jc w:val="both"/>
        <w:rPr>
          <w:rFonts w:ascii="Times New Roman" w:hAnsi="Times New Roman" w:cs="Times New Roman"/>
          <w:sz w:val="20"/>
          <w:szCs w:val="20"/>
        </w:rPr>
      </w:pPr>
      <w:r w:rsidRPr="00DE57B1">
        <w:rPr>
          <w:rFonts w:ascii="Times New Roman" w:hAnsi="Times New Roman" w:cs="Times New Roman"/>
          <w:sz w:val="20"/>
          <w:szCs w:val="20"/>
        </w:rPr>
        <w:t xml:space="preserve">1. </w:t>
      </w:r>
      <w:proofErr w:type="spellStart"/>
      <w:r w:rsidRPr="00DE57B1">
        <w:rPr>
          <w:rFonts w:ascii="Times New Roman" w:hAnsi="Times New Roman" w:cs="Times New Roman"/>
          <w:sz w:val="20"/>
          <w:szCs w:val="20"/>
        </w:rPr>
        <w:t>Rong</w:t>
      </w:r>
      <w:proofErr w:type="spellEnd"/>
      <w:r w:rsidRPr="00DE57B1">
        <w:rPr>
          <w:rFonts w:ascii="Times New Roman" w:hAnsi="Times New Roman" w:cs="Times New Roman"/>
          <w:sz w:val="20"/>
          <w:szCs w:val="20"/>
        </w:rPr>
        <w:t xml:space="preserve"> L, Xu Y, Zhang K, </w:t>
      </w:r>
      <w:proofErr w:type="spellStart"/>
      <w:r w:rsidRPr="00DE57B1">
        <w:rPr>
          <w:rFonts w:ascii="Times New Roman" w:hAnsi="Times New Roman" w:cs="Times New Roman"/>
          <w:sz w:val="20"/>
          <w:szCs w:val="20"/>
        </w:rPr>
        <w:t>Jin</w:t>
      </w:r>
      <w:proofErr w:type="spellEnd"/>
      <w:r w:rsidRPr="00DE57B1">
        <w:rPr>
          <w:rFonts w:ascii="Times New Roman" w:hAnsi="Times New Roman" w:cs="Times New Roman"/>
          <w:sz w:val="20"/>
          <w:szCs w:val="20"/>
        </w:rPr>
        <w:t xml:space="preserve"> L, Liu X. HNRNPA2B1 inhibited SFRP2 and activated </w:t>
      </w:r>
      <w:proofErr w:type="spellStart"/>
      <w:r w:rsidRPr="00DE57B1">
        <w:rPr>
          <w:rFonts w:ascii="Times New Roman" w:hAnsi="Times New Roman" w:cs="Times New Roman"/>
          <w:sz w:val="20"/>
          <w:szCs w:val="20"/>
        </w:rPr>
        <w:t>Wnt</w:t>
      </w:r>
      <w:proofErr w:type="spellEnd"/>
      <w:r w:rsidRPr="00DE57B1">
        <w:rPr>
          <w:rFonts w:ascii="Times New Roman" w:hAnsi="Times New Roman" w:cs="Times New Roman"/>
          <w:sz w:val="20"/>
          <w:szCs w:val="20"/>
        </w:rPr>
        <w:t xml:space="preserve">-β/catenin via m6A-mediated miR-106b-5p processing to aggravate </w:t>
      </w:r>
      <w:proofErr w:type="spellStart"/>
      <w:r w:rsidRPr="00DE57B1">
        <w:rPr>
          <w:rFonts w:ascii="Times New Roman" w:hAnsi="Times New Roman" w:cs="Times New Roman"/>
          <w:sz w:val="20"/>
          <w:szCs w:val="20"/>
        </w:rPr>
        <w:t>stemness</w:t>
      </w:r>
      <w:proofErr w:type="spellEnd"/>
      <w:r w:rsidRPr="00DE57B1">
        <w:rPr>
          <w:rFonts w:ascii="Times New Roman" w:hAnsi="Times New Roman" w:cs="Times New Roman"/>
          <w:sz w:val="20"/>
          <w:szCs w:val="20"/>
        </w:rPr>
        <w:t xml:space="preserve"> in lung adenocarcinoma. </w:t>
      </w:r>
      <w:proofErr w:type="spellStart"/>
      <w:proofErr w:type="gramStart"/>
      <w:r w:rsidRPr="00DE57B1">
        <w:rPr>
          <w:rFonts w:ascii="Times New Roman" w:hAnsi="Times New Roman" w:cs="Times New Roman"/>
          <w:sz w:val="20"/>
          <w:szCs w:val="20"/>
        </w:rPr>
        <w:t>Pathol</w:t>
      </w:r>
      <w:proofErr w:type="spellEnd"/>
      <w:r w:rsidRPr="00DE57B1">
        <w:rPr>
          <w:rFonts w:ascii="Times New Roman" w:hAnsi="Times New Roman" w:cs="Times New Roman"/>
          <w:sz w:val="20"/>
          <w:szCs w:val="20"/>
        </w:rPr>
        <w:t xml:space="preserve"> Res </w:t>
      </w:r>
      <w:proofErr w:type="spellStart"/>
      <w:r w:rsidRPr="00DE57B1">
        <w:rPr>
          <w:rFonts w:ascii="Times New Roman" w:hAnsi="Times New Roman" w:cs="Times New Roman"/>
          <w:sz w:val="20"/>
          <w:szCs w:val="20"/>
        </w:rPr>
        <w:t>Pract</w:t>
      </w:r>
      <w:proofErr w:type="spellEnd"/>
      <w:r w:rsidRPr="00DE57B1">
        <w:rPr>
          <w:rFonts w:ascii="Times New Roman" w:hAnsi="Times New Roman" w:cs="Times New Roman"/>
          <w:sz w:val="20"/>
          <w:szCs w:val="20"/>
        </w:rPr>
        <w:t>.</w:t>
      </w:r>
      <w:proofErr w:type="gramEnd"/>
      <w:r w:rsidRPr="00DE57B1">
        <w:rPr>
          <w:rFonts w:ascii="Times New Roman" w:hAnsi="Times New Roman" w:cs="Times New Roman"/>
          <w:sz w:val="20"/>
          <w:szCs w:val="20"/>
        </w:rPr>
        <w:t xml:space="preserve"> 2022 May</w:t>
      </w:r>
      <w:proofErr w:type="gramStart"/>
      <w:r w:rsidRPr="00DE57B1">
        <w:rPr>
          <w:rFonts w:ascii="Times New Roman" w:hAnsi="Times New Roman" w:cs="Times New Roman"/>
          <w:sz w:val="20"/>
          <w:szCs w:val="20"/>
        </w:rPr>
        <w:t>;233:153794</w:t>
      </w:r>
      <w:proofErr w:type="gramEnd"/>
      <w:r w:rsidRPr="00DE57B1">
        <w:rPr>
          <w:rFonts w:ascii="Times New Roman" w:hAnsi="Times New Roman" w:cs="Times New Roman"/>
          <w:sz w:val="20"/>
          <w:szCs w:val="20"/>
        </w:rPr>
        <w:t>. Available from: https://pubmed.ncbi.nlm.nih.gov/35364458/.</w:t>
      </w:r>
    </w:p>
    <w:p w:rsidR="00DE57B1" w:rsidRPr="00DE57B1" w:rsidRDefault="00DE57B1" w:rsidP="00DE57B1">
      <w:pPr>
        <w:jc w:val="both"/>
        <w:rPr>
          <w:rFonts w:ascii="Times New Roman" w:hAnsi="Times New Roman" w:cs="Times New Roman"/>
          <w:sz w:val="20"/>
          <w:szCs w:val="20"/>
        </w:rPr>
      </w:pPr>
      <w:r w:rsidRPr="00DE57B1">
        <w:rPr>
          <w:rFonts w:ascii="Times New Roman" w:hAnsi="Times New Roman" w:cs="Times New Roman"/>
          <w:sz w:val="20"/>
          <w:szCs w:val="20"/>
        </w:rPr>
        <w:t xml:space="preserve">2. Nunez Lopez YO, </w:t>
      </w:r>
      <w:proofErr w:type="spellStart"/>
      <w:r w:rsidRPr="00DE57B1">
        <w:rPr>
          <w:rFonts w:ascii="Times New Roman" w:hAnsi="Times New Roman" w:cs="Times New Roman"/>
          <w:sz w:val="20"/>
          <w:szCs w:val="20"/>
        </w:rPr>
        <w:t>Casu</w:t>
      </w:r>
      <w:proofErr w:type="spellEnd"/>
      <w:r w:rsidRPr="00DE57B1">
        <w:rPr>
          <w:rFonts w:ascii="Times New Roman" w:hAnsi="Times New Roman" w:cs="Times New Roman"/>
          <w:sz w:val="20"/>
          <w:szCs w:val="20"/>
        </w:rPr>
        <w:t xml:space="preserve"> A, </w:t>
      </w:r>
      <w:proofErr w:type="spellStart"/>
      <w:r w:rsidRPr="00DE57B1">
        <w:rPr>
          <w:rFonts w:ascii="Times New Roman" w:hAnsi="Times New Roman" w:cs="Times New Roman"/>
          <w:sz w:val="20"/>
          <w:szCs w:val="20"/>
        </w:rPr>
        <w:t>Kovacova</w:t>
      </w:r>
      <w:proofErr w:type="spellEnd"/>
      <w:r w:rsidRPr="00DE57B1">
        <w:rPr>
          <w:rFonts w:ascii="Times New Roman" w:hAnsi="Times New Roman" w:cs="Times New Roman"/>
          <w:sz w:val="20"/>
          <w:szCs w:val="20"/>
        </w:rPr>
        <w:t xml:space="preserve"> Z, </w:t>
      </w:r>
      <w:proofErr w:type="spellStart"/>
      <w:r w:rsidRPr="00DE57B1">
        <w:rPr>
          <w:rFonts w:ascii="Times New Roman" w:hAnsi="Times New Roman" w:cs="Times New Roman"/>
          <w:sz w:val="20"/>
          <w:szCs w:val="20"/>
        </w:rPr>
        <w:t>Petrilli</w:t>
      </w:r>
      <w:proofErr w:type="spellEnd"/>
      <w:r w:rsidRPr="00DE57B1">
        <w:rPr>
          <w:rFonts w:ascii="Times New Roman" w:hAnsi="Times New Roman" w:cs="Times New Roman"/>
          <w:sz w:val="20"/>
          <w:szCs w:val="20"/>
        </w:rPr>
        <w:t xml:space="preserve"> AM, </w:t>
      </w:r>
      <w:proofErr w:type="spellStart"/>
      <w:r w:rsidRPr="00DE57B1">
        <w:rPr>
          <w:rFonts w:ascii="Times New Roman" w:hAnsi="Times New Roman" w:cs="Times New Roman"/>
          <w:sz w:val="20"/>
          <w:szCs w:val="20"/>
        </w:rPr>
        <w:t>Sideleva</w:t>
      </w:r>
      <w:proofErr w:type="spellEnd"/>
      <w:r w:rsidRPr="00DE57B1">
        <w:rPr>
          <w:rFonts w:ascii="Times New Roman" w:hAnsi="Times New Roman" w:cs="Times New Roman"/>
          <w:sz w:val="20"/>
          <w:szCs w:val="20"/>
        </w:rPr>
        <w:t xml:space="preserve"> O, Tharp WG, Pratley RE. Coordinated regulation of gene expression and microRNA changes in adipose tissue and circulating extracellular vesicles in response to pioglitazone treatment in humans with type 2 diabetes. Front </w:t>
      </w:r>
      <w:proofErr w:type="spellStart"/>
      <w:r w:rsidRPr="00DE57B1">
        <w:rPr>
          <w:rFonts w:ascii="Times New Roman" w:hAnsi="Times New Roman" w:cs="Times New Roman"/>
          <w:sz w:val="20"/>
          <w:szCs w:val="20"/>
        </w:rPr>
        <w:t>Endocrinol</w:t>
      </w:r>
      <w:proofErr w:type="spellEnd"/>
      <w:r w:rsidRPr="00DE57B1">
        <w:rPr>
          <w:rFonts w:ascii="Times New Roman" w:hAnsi="Times New Roman" w:cs="Times New Roman"/>
          <w:sz w:val="20"/>
          <w:szCs w:val="20"/>
        </w:rPr>
        <w:t xml:space="preserve"> (Lausanne). 2022 Aug 31</w:t>
      </w:r>
      <w:proofErr w:type="gramStart"/>
      <w:r w:rsidRPr="00DE57B1">
        <w:rPr>
          <w:rFonts w:ascii="Times New Roman" w:hAnsi="Times New Roman" w:cs="Times New Roman"/>
          <w:sz w:val="20"/>
          <w:szCs w:val="20"/>
        </w:rPr>
        <w:t>;13:955593</w:t>
      </w:r>
      <w:proofErr w:type="gramEnd"/>
      <w:r w:rsidRPr="00DE57B1">
        <w:rPr>
          <w:rFonts w:ascii="Times New Roman" w:hAnsi="Times New Roman" w:cs="Times New Roman"/>
          <w:sz w:val="20"/>
          <w:szCs w:val="20"/>
        </w:rPr>
        <w:t>. Available from: https://pubmed.ncbi.nlm.nih.gov/36120427/.</w:t>
      </w:r>
    </w:p>
    <w:p w:rsidR="00DE57B1" w:rsidRDefault="00DE57B1" w:rsidP="00DE57B1">
      <w:pPr>
        <w:jc w:val="both"/>
        <w:rPr>
          <w:rFonts w:ascii="Times New Roman" w:hAnsi="Times New Roman" w:cs="Times New Roman"/>
          <w:sz w:val="20"/>
          <w:szCs w:val="20"/>
        </w:rPr>
      </w:pPr>
      <w:r w:rsidRPr="00DE57B1">
        <w:rPr>
          <w:rFonts w:ascii="Times New Roman" w:hAnsi="Times New Roman" w:cs="Times New Roman"/>
          <w:sz w:val="20"/>
          <w:szCs w:val="20"/>
        </w:rPr>
        <w:t xml:space="preserve">3. Li C, Qin F, Wang W, Ni Y, Gao M, Guo M, Sun G. hnRNPA2B1-Mediated Extracellular Vesicles Sorting of miR-122-5p Potentially Promotes Lung Cancer Progression. </w:t>
      </w:r>
      <w:proofErr w:type="spellStart"/>
      <w:r w:rsidRPr="00DE57B1">
        <w:rPr>
          <w:rFonts w:ascii="Times New Roman" w:hAnsi="Times New Roman" w:cs="Times New Roman"/>
          <w:sz w:val="20"/>
          <w:szCs w:val="20"/>
        </w:rPr>
        <w:t>Int</w:t>
      </w:r>
      <w:proofErr w:type="spellEnd"/>
      <w:r w:rsidRPr="00DE57B1">
        <w:rPr>
          <w:rFonts w:ascii="Times New Roman" w:hAnsi="Times New Roman" w:cs="Times New Roman"/>
          <w:sz w:val="20"/>
          <w:szCs w:val="20"/>
        </w:rPr>
        <w:t xml:space="preserve"> J </w:t>
      </w:r>
      <w:proofErr w:type="spellStart"/>
      <w:r w:rsidRPr="00DE57B1">
        <w:rPr>
          <w:rFonts w:ascii="Times New Roman" w:hAnsi="Times New Roman" w:cs="Times New Roman"/>
          <w:sz w:val="20"/>
          <w:szCs w:val="20"/>
        </w:rPr>
        <w:t>Mol</w:t>
      </w:r>
      <w:proofErr w:type="spellEnd"/>
      <w:r w:rsidRPr="00DE57B1">
        <w:rPr>
          <w:rFonts w:ascii="Times New Roman" w:hAnsi="Times New Roman" w:cs="Times New Roman"/>
          <w:sz w:val="20"/>
          <w:szCs w:val="20"/>
        </w:rPr>
        <w:t xml:space="preserve"> Sci. 2021 Nov 28</w:t>
      </w:r>
      <w:proofErr w:type="gramStart"/>
      <w:r w:rsidRPr="00DE57B1">
        <w:rPr>
          <w:rFonts w:ascii="Times New Roman" w:hAnsi="Times New Roman" w:cs="Times New Roman"/>
          <w:sz w:val="20"/>
          <w:szCs w:val="20"/>
        </w:rPr>
        <w:t>;22</w:t>
      </w:r>
      <w:proofErr w:type="gramEnd"/>
      <w:r w:rsidRPr="00DE57B1">
        <w:rPr>
          <w:rFonts w:ascii="Times New Roman" w:hAnsi="Times New Roman" w:cs="Times New Roman"/>
          <w:sz w:val="20"/>
          <w:szCs w:val="20"/>
        </w:rPr>
        <w:t xml:space="preserve">(23):12866. Available from: </w:t>
      </w:r>
      <w:r w:rsidRPr="00FB74F3">
        <w:rPr>
          <w:rFonts w:ascii="Times New Roman" w:hAnsi="Times New Roman" w:cs="Times New Roman"/>
          <w:sz w:val="20"/>
          <w:szCs w:val="20"/>
        </w:rPr>
        <w:t>https://pubmed.ncbi.nlm.nih.gov/34884671/</w:t>
      </w:r>
      <w:r w:rsidRPr="00DE57B1">
        <w:rPr>
          <w:rFonts w:ascii="Times New Roman" w:hAnsi="Times New Roman" w:cs="Times New Roman"/>
          <w:sz w:val="20"/>
          <w:szCs w:val="20"/>
        </w:rPr>
        <w:t>.</w:t>
      </w:r>
    </w:p>
    <w:p w:rsidR="00DE57B1" w:rsidRDefault="00DE57B1" w:rsidP="00DE57B1">
      <w:pPr>
        <w:jc w:val="both"/>
        <w:rPr>
          <w:rFonts w:ascii="Times New Roman" w:hAnsi="Times New Roman" w:cs="Times New Roman"/>
          <w:sz w:val="20"/>
          <w:szCs w:val="20"/>
        </w:rPr>
      </w:pPr>
    </w:p>
    <w:p w:rsidR="00DE57B1" w:rsidRDefault="00DE57B1" w:rsidP="00DE57B1">
      <w:pPr>
        <w:jc w:val="both"/>
        <w:rPr>
          <w:rFonts w:ascii="Times New Roman" w:hAnsi="Times New Roman" w:cs="Times New Roman"/>
          <w:sz w:val="20"/>
          <w:szCs w:val="20"/>
        </w:rPr>
      </w:pPr>
    </w:p>
    <w:p w:rsidR="00DE57B1" w:rsidRDefault="00DE57B1" w:rsidP="00DE57B1">
      <w:pPr>
        <w:jc w:val="both"/>
        <w:rPr>
          <w:rFonts w:ascii="Times New Roman" w:hAnsi="Times New Roman" w:cs="Times New Roman"/>
          <w:sz w:val="20"/>
          <w:szCs w:val="20"/>
        </w:rPr>
      </w:pPr>
    </w:p>
    <w:p w:rsidR="00DE57B1" w:rsidRPr="00DE57B1" w:rsidRDefault="00DE57B1" w:rsidP="00DE57B1">
      <w:pPr>
        <w:jc w:val="both"/>
        <w:rPr>
          <w:rFonts w:ascii="Times New Roman" w:hAnsi="Times New Roman" w:cs="Times New Roman"/>
          <w:sz w:val="20"/>
          <w:szCs w:val="20"/>
        </w:rPr>
      </w:pPr>
      <w:r w:rsidRPr="002B797F">
        <w:rPr>
          <w:rFonts w:ascii="Times New Roman" w:hAnsi="Times New Roman" w:cs="Times New Roman"/>
          <w:b/>
          <w:sz w:val="24"/>
        </w:rPr>
        <w:lastRenderedPageBreak/>
        <w:t xml:space="preserve">Biography </w:t>
      </w:r>
    </w:p>
    <w:p w:rsidR="00DE57B1" w:rsidRPr="002B4874" w:rsidRDefault="00DE57B1" w:rsidP="00DE57B1">
      <w:pPr>
        <w:spacing w:before="41" w:line="240" w:lineRule="auto"/>
        <w:ind w:right="231"/>
        <w:jc w:val="both"/>
        <w:rPr>
          <w:rFonts w:ascii="Times New Roman" w:hAnsi="Times New Roman" w:cs="Times New Roman"/>
          <w:sz w:val="20"/>
        </w:rPr>
      </w:pPr>
      <w:r w:rsidRPr="002B4874">
        <w:rPr>
          <w:rFonts w:ascii="Times New Roman" w:hAnsi="Times New Roman" w:cs="Times New Roman"/>
          <w:sz w:val="20"/>
        </w:rPr>
        <w:t xml:space="preserve">Yiling Li, PhD in Clinical Laboratory Diagnostics, State Key Laboratory of Molecular Oncology, Department of Clinical Laboratory, National Cancer Center/National Clinical Research Center for Cancer/Cancer Hospital, Chinese Academy of Medical Sciences and Peking Union Medical College, Beijing, China. Specialized in the cancer diagnosis of biomarker and epigenetic modification. Currently, five papers of SCI journal have been published, respectively in </w:t>
      </w:r>
      <w:r w:rsidRPr="002B4874">
        <w:rPr>
          <w:rFonts w:ascii="Times New Roman" w:hAnsi="Times New Roman" w:cs="Times New Roman"/>
          <w:iCs/>
          <w:sz w:val="20"/>
        </w:rPr>
        <w:t xml:space="preserve">Cancers, Frontier in Oncology, </w:t>
      </w:r>
      <w:r w:rsidR="002B4874" w:rsidRPr="002B4874">
        <w:rPr>
          <w:rFonts w:ascii="Times New Roman" w:hAnsi="Times New Roman" w:cs="Times New Roman"/>
          <w:iCs/>
          <w:sz w:val="20"/>
        </w:rPr>
        <w:t>and Frontier</w:t>
      </w:r>
      <w:r w:rsidRPr="002B4874">
        <w:rPr>
          <w:rFonts w:ascii="Times New Roman" w:hAnsi="Times New Roman" w:cs="Times New Roman"/>
          <w:iCs/>
          <w:sz w:val="20"/>
        </w:rPr>
        <w:t xml:space="preserve"> in Cell and Developmental biology, Communications Biology </w:t>
      </w:r>
      <w:r w:rsidRPr="002B4874">
        <w:rPr>
          <w:rFonts w:ascii="Times New Roman" w:hAnsi="Times New Roman" w:cs="Times New Roman"/>
          <w:sz w:val="20"/>
        </w:rPr>
        <w:t>and</w:t>
      </w:r>
      <w:r w:rsidRPr="002B4874">
        <w:rPr>
          <w:rFonts w:ascii="Times New Roman" w:hAnsi="Times New Roman" w:cs="Times New Roman"/>
          <w:iCs/>
          <w:sz w:val="20"/>
        </w:rPr>
        <w:t xml:space="preserve"> Oncology Reports</w:t>
      </w:r>
      <w:r w:rsidRPr="002B4874">
        <w:rPr>
          <w:rFonts w:ascii="Times New Roman" w:hAnsi="Times New Roman" w:cs="Times New Roman"/>
          <w:sz w:val="20"/>
        </w:rPr>
        <w:t xml:space="preserve"> journals, with the total impact factors reaching 29 points.</w:t>
      </w:r>
    </w:p>
    <w:p w:rsidR="00DE57B1" w:rsidRPr="00DE57B1" w:rsidRDefault="00DE57B1" w:rsidP="00DE57B1">
      <w:pPr>
        <w:jc w:val="both"/>
        <w:rPr>
          <w:rFonts w:ascii="Times New Roman" w:hAnsi="Times New Roman" w:cs="Times New Roman"/>
          <w:sz w:val="20"/>
          <w:szCs w:val="20"/>
        </w:rPr>
      </w:pPr>
    </w:p>
    <w:p w:rsidR="00DE57B1" w:rsidRDefault="00DE57B1" w:rsidP="00DE57B1">
      <w:pPr>
        <w:jc w:val="both"/>
        <w:rPr>
          <w:rFonts w:ascii="Times New Roman" w:hAnsi="Times New Roman" w:cs="Times New Roman"/>
          <w:sz w:val="24"/>
        </w:rPr>
      </w:pPr>
    </w:p>
    <w:p w:rsidR="00DE57B1" w:rsidRDefault="00DE57B1"/>
    <w:sectPr w:rsidR="00DE57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7B1"/>
    <w:rsid w:val="002B4874"/>
    <w:rsid w:val="0050087B"/>
    <w:rsid w:val="00DE57B1"/>
    <w:rsid w:val="00FB7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57B1"/>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DE57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57B1"/>
    <w:rPr>
      <w:rFonts w:ascii="Minion Pro" w:eastAsia="Minion Pro" w:hAnsi="Minion Pro" w:cs="Minion Pro"/>
      <w:b/>
      <w:bCs/>
      <w:sz w:val="36"/>
      <w:szCs w:val="36"/>
    </w:rPr>
  </w:style>
  <w:style w:type="character" w:customStyle="1" w:styleId="Heading2Char">
    <w:name w:val="Heading 2 Char"/>
    <w:basedOn w:val="DefaultParagraphFont"/>
    <w:link w:val="Heading2"/>
    <w:uiPriority w:val="9"/>
    <w:rsid w:val="00DE57B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E57B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DE57B1"/>
    <w:pPr>
      <w:widowControl w:val="0"/>
      <w:spacing w:before="47" w:after="0"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unhideWhenUsed/>
    <w:qFormat/>
    <w:rsid w:val="00DE57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57B1"/>
    <w:rPr>
      <w:rFonts w:ascii="Minion Pro" w:eastAsia="Minion Pro" w:hAnsi="Minion Pro" w:cs="Minion Pro"/>
      <w:b/>
      <w:bCs/>
      <w:sz w:val="36"/>
      <w:szCs w:val="36"/>
    </w:rPr>
  </w:style>
  <w:style w:type="character" w:customStyle="1" w:styleId="Heading2Char">
    <w:name w:val="Heading 2 Char"/>
    <w:basedOn w:val="DefaultParagraphFont"/>
    <w:link w:val="Heading2"/>
    <w:uiPriority w:val="9"/>
    <w:rsid w:val="00DE57B1"/>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DE57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2641">
      <w:bodyDiv w:val="1"/>
      <w:marLeft w:val="0"/>
      <w:marRight w:val="0"/>
      <w:marTop w:val="0"/>
      <w:marBottom w:val="0"/>
      <w:divBdr>
        <w:top w:val="none" w:sz="0" w:space="0" w:color="auto"/>
        <w:left w:val="none" w:sz="0" w:space="0" w:color="auto"/>
        <w:bottom w:val="none" w:sz="0" w:space="0" w:color="auto"/>
        <w:right w:val="none" w:sz="0" w:space="0" w:color="auto"/>
      </w:divBdr>
      <w:divsChild>
        <w:div w:id="1352605332">
          <w:marLeft w:val="0"/>
          <w:marRight w:val="0"/>
          <w:marTop w:val="0"/>
          <w:marBottom w:val="60"/>
          <w:divBdr>
            <w:top w:val="none" w:sz="0" w:space="0" w:color="auto"/>
            <w:left w:val="none" w:sz="0" w:space="0" w:color="auto"/>
            <w:bottom w:val="none" w:sz="0" w:space="0" w:color="auto"/>
            <w:right w:val="none" w:sz="0" w:space="0" w:color="auto"/>
          </w:divBdr>
          <w:divsChild>
            <w:div w:id="579490360">
              <w:marLeft w:val="0"/>
              <w:marRight w:val="0"/>
              <w:marTop w:val="0"/>
              <w:marBottom w:val="0"/>
              <w:divBdr>
                <w:top w:val="none" w:sz="0" w:space="0" w:color="auto"/>
                <w:left w:val="none" w:sz="0" w:space="0" w:color="auto"/>
                <w:bottom w:val="none" w:sz="0" w:space="0" w:color="auto"/>
                <w:right w:val="none" w:sz="0" w:space="0" w:color="auto"/>
              </w:divBdr>
              <w:divsChild>
                <w:div w:id="4551439">
                  <w:marLeft w:val="0"/>
                  <w:marRight w:val="0"/>
                  <w:marTop w:val="0"/>
                  <w:marBottom w:val="0"/>
                  <w:divBdr>
                    <w:top w:val="none" w:sz="0" w:space="0" w:color="auto"/>
                    <w:left w:val="none" w:sz="0" w:space="0" w:color="auto"/>
                    <w:bottom w:val="none" w:sz="0" w:space="0" w:color="auto"/>
                    <w:right w:val="none" w:sz="0" w:space="0" w:color="auto"/>
                  </w:divBdr>
                  <w:divsChild>
                    <w:div w:id="1200127966">
                      <w:marLeft w:val="0"/>
                      <w:marRight w:val="150"/>
                      <w:marTop w:val="30"/>
                      <w:marBottom w:val="0"/>
                      <w:divBdr>
                        <w:top w:val="none" w:sz="0" w:space="0" w:color="auto"/>
                        <w:left w:val="none" w:sz="0" w:space="0" w:color="auto"/>
                        <w:bottom w:val="none" w:sz="0" w:space="0" w:color="auto"/>
                        <w:right w:val="none" w:sz="0" w:space="0" w:color="auto"/>
                      </w:divBdr>
                      <w:divsChild>
                        <w:div w:id="200171899">
                          <w:marLeft w:val="0"/>
                          <w:marRight w:val="0"/>
                          <w:marTop w:val="0"/>
                          <w:marBottom w:val="0"/>
                          <w:divBdr>
                            <w:top w:val="none" w:sz="0" w:space="0" w:color="auto"/>
                            <w:left w:val="none" w:sz="0" w:space="0" w:color="auto"/>
                            <w:bottom w:val="none" w:sz="0" w:space="0" w:color="auto"/>
                            <w:right w:val="none" w:sz="0" w:space="0" w:color="auto"/>
                          </w:divBdr>
                        </w:div>
                      </w:divsChild>
                    </w:div>
                    <w:div w:id="291205542">
                      <w:marLeft w:val="0"/>
                      <w:marRight w:val="150"/>
                      <w:marTop w:val="30"/>
                      <w:marBottom w:val="0"/>
                      <w:divBdr>
                        <w:top w:val="none" w:sz="0" w:space="0" w:color="auto"/>
                        <w:left w:val="none" w:sz="0" w:space="0" w:color="auto"/>
                        <w:bottom w:val="none" w:sz="0" w:space="0" w:color="auto"/>
                        <w:right w:val="none" w:sz="0" w:space="0" w:color="auto"/>
                      </w:divBdr>
                      <w:divsChild>
                        <w:div w:id="979654189">
                          <w:marLeft w:val="0"/>
                          <w:marRight w:val="0"/>
                          <w:marTop w:val="0"/>
                          <w:marBottom w:val="0"/>
                          <w:divBdr>
                            <w:top w:val="none" w:sz="0" w:space="0" w:color="auto"/>
                            <w:left w:val="none" w:sz="0" w:space="0" w:color="auto"/>
                            <w:bottom w:val="none" w:sz="0" w:space="0" w:color="auto"/>
                            <w:right w:val="none" w:sz="0" w:space="0" w:color="auto"/>
                          </w:divBdr>
                        </w:div>
                      </w:divsChild>
                    </w:div>
                    <w:div w:id="1413896034">
                      <w:marLeft w:val="0"/>
                      <w:marRight w:val="0"/>
                      <w:marTop w:val="0"/>
                      <w:marBottom w:val="0"/>
                      <w:divBdr>
                        <w:top w:val="none" w:sz="0" w:space="0" w:color="auto"/>
                        <w:left w:val="none" w:sz="0" w:space="0" w:color="auto"/>
                        <w:bottom w:val="none" w:sz="0" w:space="0" w:color="auto"/>
                        <w:right w:val="none" w:sz="0" w:space="0" w:color="auto"/>
                      </w:divBdr>
                      <w:divsChild>
                        <w:div w:id="960262472">
                          <w:marLeft w:val="0"/>
                          <w:marRight w:val="0"/>
                          <w:marTop w:val="0"/>
                          <w:marBottom w:val="0"/>
                          <w:divBdr>
                            <w:top w:val="none" w:sz="0" w:space="0" w:color="auto"/>
                            <w:left w:val="none" w:sz="0" w:space="0" w:color="auto"/>
                            <w:bottom w:val="none" w:sz="0" w:space="0" w:color="auto"/>
                            <w:right w:val="none" w:sz="0" w:space="0" w:color="auto"/>
                          </w:divBdr>
                          <w:divsChild>
                            <w:div w:id="691996617">
                              <w:marLeft w:val="0"/>
                              <w:marRight w:val="0"/>
                              <w:marTop w:val="0"/>
                              <w:marBottom w:val="0"/>
                              <w:divBdr>
                                <w:top w:val="none" w:sz="0" w:space="0" w:color="auto"/>
                                <w:left w:val="none" w:sz="0" w:space="0" w:color="auto"/>
                                <w:bottom w:val="none" w:sz="0" w:space="0" w:color="auto"/>
                                <w:right w:val="none" w:sz="0" w:space="0" w:color="auto"/>
                              </w:divBdr>
                              <w:divsChild>
                                <w:div w:id="1048723325">
                                  <w:marLeft w:val="0"/>
                                  <w:marRight w:val="0"/>
                                  <w:marTop w:val="0"/>
                                  <w:marBottom w:val="0"/>
                                  <w:divBdr>
                                    <w:top w:val="none" w:sz="0" w:space="0" w:color="auto"/>
                                    <w:left w:val="none" w:sz="0" w:space="0" w:color="auto"/>
                                    <w:bottom w:val="none" w:sz="0" w:space="0" w:color="auto"/>
                                    <w:right w:val="none" w:sz="0" w:space="0" w:color="auto"/>
                                  </w:divBdr>
                                  <w:divsChild>
                                    <w:div w:id="2020697120">
                                      <w:marLeft w:val="360"/>
                                      <w:marRight w:val="360"/>
                                      <w:marTop w:val="360"/>
                                      <w:marBottom w:val="360"/>
                                      <w:divBdr>
                                        <w:top w:val="none" w:sz="0" w:space="0" w:color="auto"/>
                                        <w:left w:val="none" w:sz="0" w:space="0" w:color="auto"/>
                                        <w:bottom w:val="none" w:sz="0" w:space="0" w:color="auto"/>
                                        <w:right w:val="none" w:sz="0" w:space="0" w:color="auto"/>
                                      </w:divBdr>
                                      <w:divsChild>
                                        <w:div w:id="17774401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38243731">
                          <w:marLeft w:val="0"/>
                          <w:marRight w:val="0"/>
                          <w:marTop w:val="0"/>
                          <w:marBottom w:val="0"/>
                          <w:divBdr>
                            <w:top w:val="none" w:sz="0" w:space="0" w:color="auto"/>
                            <w:left w:val="none" w:sz="0" w:space="0" w:color="auto"/>
                            <w:bottom w:val="none" w:sz="0" w:space="0" w:color="auto"/>
                            <w:right w:val="none" w:sz="0" w:space="0" w:color="auto"/>
                          </w:divBdr>
                        </w:div>
                      </w:divsChild>
                    </w:div>
                    <w:div w:id="182134049">
                      <w:marLeft w:val="0"/>
                      <w:marRight w:val="150"/>
                      <w:marTop w:val="30"/>
                      <w:marBottom w:val="0"/>
                      <w:divBdr>
                        <w:top w:val="none" w:sz="0" w:space="0" w:color="auto"/>
                        <w:left w:val="none" w:sz="0" w:space="0" w:color="auto"/>
                        <w:bottom w:val="none" w:sz="0" w:space="0" w:color="auto"/>
                        <w:right w:val="none" w:sz="0" w:space="0" w:color="auto"/>
                      </w:divBdr>
                      <w:divsChild>
                        <w:div w:id="1386950126">
                          <w:marLeft w:val="0"/>
                          <w:marRight w:val="0"/>
                          <w:marTop w:val="0"/>
                          <w:marBottom w:val="0"/>
                          <w:divBdr>
                            <w:top w:val="none" w:sz="0" w:space="0" w:color="auto"/>
                            <w:left w:val="none" w:sz="0" w:space="0" w:color="auto"/>
                            <w:bottom w:val="none" w:sz="0" w:space="0" w:color="auto"/>
                            <w:right w:val="none" w:sz="0" w:space="0" w:color="auto"/>
                          </w:divBdr>
                          <w:divsChild>
                            <w:div w:id="1915045351">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1443958153">
      <w:bodyDiv w:val="1"/>
      <w:marLeft w:val="0"/>
      <w:marRight w:val="0"/>
      <w:marTop w:val="0"/>
      <w:marBottom w:val="0"/>
      <w:divBdr>
        <w:top w:val="none" w:sz="0" w:space="0" w:color="auto"/>
        <w:left w:val="none" w:sz="0" w:space="0" w:color="auto"/>
        <w:bottom w:val="none" w:sz="0" w:space="0" w:color="auto"/>
        <w:right w:val="none" w:sz="0" w:space="0" w:color="auto"/>
      </w:divBdr>
    </w:div>
    <w:div w:id="205333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cp:revision>
  <dcterms:created xsi:type="dcterms:W3CDTF">2023-03-02T12:18:00Z</dcterms:created>
  <dcterms:modified xsi:type="dcterms:W3CDTF">2023-03-02T12:26:00Z</dcterms:modified>
</cp:coreProperties>
</file>