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18E" w:rsidRPr="00772113" w:rsidRDefault="00E6718E" w:rsidP="00E6718E">
      <w:p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72113">
        <w:rPr>
          <w:rFonts w:asciiTheme="majorBidi" w:hAnsiTheme="majorBidi" w:cstheme="majorBidi"/>
          <w:b/>
          <w:bCs/>
          <w:i/>
          <w:iCs/>
          <w:color w:val="1D1B11"/>
          <w:sz w:val="24"/>
          <w:szCs w:val="24"/>
        </w:rPr>
        <w:t xml:space="preserve">Predictors of microalbuminuria and its relationship with glycemic control among 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Type 2 </w:t>
      </w:r>
      <w:r w:rsidRPr="00772113">
        <w:rPr>
          <w:rFonts w:asciiTheme="majorBidi" w:eastAsia="Calibri" w:hAnsiTheme="majorBidi" w:cstheme="majorBidi"/>
          <w:b/>
          <w:bCs/>
          <w:sz w:val="24"/>
          <w:szCs w:val="24"/>
        </w:rPr>
        <w:t>diabetic patients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 of Jazan Armed Forces Hospital, southwestern Saudi Arabia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E6718E">
        <w:rPr>
          <w:rFonts w:asciiTheme="majorBidi" w:hAnsiTheme="majorBidi" w:cstheme="majorBidi"/>
          <w:sz w:val="24"/>
          <w:szCs w:val="24"/>
        </w:rPr>
        <w:t xml:space="preserve">Hassan Ali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Abdelwahid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eastAsia="Calibri" w:hAnsiTheme="majorBidi" w:cstheme="majorBidi"/>
          <w:sz w:val="24"/>
          <w:szCs w:val="24"/>
        </w:rPr>
        <w:t>Hesham</w:t>
      </w:r>
      <w:proofErr w:type="spellEnd"/>
      <w:r w:rsidRPr="00E6718E">
        <w:rPr>
          <w:rFonts w:asciiTheme="majorBidi" w:eastAsia="Calibri" w:hAnsiTheme="majorBidi" w:cstheme="majorBidi"/>
          <w:sz w:val="24"/>
          <w:szCs w:val="24"/>
        </w:rPr>
        <w:t xml:space="preserve"> Mohamed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Dahlan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hAnsiTheme="majorBidi" w:cstheme="majorBidi"/>
          <w:sz w:val="24"/>
          <w:szCs w:val="24"/>
        </w:rPr>
        <w:t>Gassem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Maoudhah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6718E">
        <w:rPr>
          <w:rFonts w:asciiTheme="majorBidi" w:hAnsiTheme="majorBidi" w:cstheme="majorBidi"/>
          <w:sz w:val="24"/>
          <w:szCs w:val="24"/>
        </w:rPr>
        <w:t>Mojemamy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718E">
        <w:rPr>
          <w:rFonts w:asciiTheme="majorBidi" w:hAnsiTheme="majorBidi" w:cstheme="majorBidi"/>
          <w:sz w:val="24"/>
          <w:szCs w:val="24"/>
        </w:rPr>
        <w:t>Gasem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 xml:space="preserve"> </w:t>
      </w:r>
      <w:r w:rsidRPr="00E6718E">
        <w:rPr>
          <w:rFonts w:asciiTheme="majorBidi" w:eastAsia="Calibri" w:hAnsiTheme="majorBidi" w:cstheme="majorBidi"/>
          <w:sz w:val="24"/>
          <w:szCs w:val="24"/>
        </w:rPr>
        <w:t xml:space="preserve">Hussein </w:t>
      </w:r>
      <w:proofErr w:type="spellStart"/>
      <w:r w:rsidRPr="00E6718E">
        <w:rPr>
          <w:rFonts w:asciiTheme="majorBidi" w:eastAsia="Calibri" w:hAnsiTheme="majorBidi" w:cstheme="majorBidi"/>
          <w:sz w:val="24"/>
          <w:szCs w:val="24"/>
        </w:rPr>
        <w:t>Darraj</w:t>
      </w:r>
      <w:proofErr w:type="spellEnd"/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850C3E">
        <w:rPr>
          <w:b/>
          <w:bCs/>
        </w:rPr>
        <w:lastRenderedPageBreak/>
        <w:t>Statement of the Problem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772113">
        <w:rPr>
          <w:rFonts w:asciiTheme="majorBidi" w:hAnsiTheme="majorBidi" w:cstheme="majorBidi"/>
          <w:sz w:val="24"/>
          <w:szCs w:val="24"/>
        </w:rPr>
        <w:t xml:space="preserve">Diabetic kidney disease (DKD) is highly prevalent among </w:t>
      </w:r>
      <w:r w:rsidRPr="00772113">
        <w:rPr>
          <w:rFonts w:asciiTheme="majorBidi" w:eastAsia="Calibri" w:hAnsiTheme="majorBidi" w:cstheme="majorBidi"/>
          <w:sz w:val="24"/>
          <w:szCs w:val="24"/>
        </w:rPr>
        <w:t>patients</w:t>
      </w:r>
      <w:r w:rsidRPr="00772113">
        <w:rPr>
          <w:rFonts w:asciiTheme="majorBidi" w:hAnsiTheme="majorBidi" w:cstheme="majorBidi"/>
          <w:sz w:val="24"/>
          <w:szCs w:val="24"/>
        </w:rPr>
        <w:t xml:space="preserve"> with diabetes mellitus. It affects approximately 20% of diabetic patients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who are believed to be more than 400 million </w:t>
      </w:r>
      <w:r w:rsidRPr="00772113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individuals.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The</w:t>
      </w:r>
      <w:r w:rsidRPr="00772113">
        <w:rPr>
          <w:rFonts w:asciiTheme="majorBidi" w:hAnsiTheme="majorBidi" w:cstheme="majorBidi"/>
          <w:sz w:val="24"/>
          <w:szCs w:val="24"/>
        </w:rPr>
        <w:t xml:space="preserve"> objectives of the present work were </w:t>
      </w:r>
      <w:r w:rsidRPr="00772113">
        <w:rPr>
          <w:rFonts w:asciiTheme="majorBidi" w:eastAsia="Calibri" w:hAnsiTheme="majorBidi" w:cstheme="majorBidi"/>
          <w:sz w:val="24"/>
          <w:szCs w:val="24"/>
        </w:rPr>
        <w:t>to assess</w:t>
      </w:r>
      <w:r w:rsidRPr="00772113">
        <w:rPr>
          <w:rFonts w:asciiTheme="majorBidi" w:hAnsiTheme="majorBidi" w:cstheme="majorBidi"/>
          <w:sz w:val="24"/>
          <w:szCs w:val="24"/>
        </w:rPr>
        <w:t xml:space="preserve"> patterns of albuminuria and </w:t>
      </w:r>
      <w:r w:rsidRPr="00772113">
        <w:rPr>
          <w:rFonts w:asciiTheme="majorBidi" w:eastAsia="Calibri" w:hAnsiTheme="majorBidi" w:cstheme="majorBidi"/>
          <w:sz w:val="24"/>
          <w:szCs w:val="24"/>
        </w:rPr>
        <w:t>determine</w:t>
      </w:r>
      <w:r w:rsidRPr="00772113">
        <w:rPr>
          <w:rFonts w:asciiTheme="majorBidi" w:hAnsiTheme="majorBidi" w:cstheme="majorBidi"/>
          <w:sz w:val="24"/>
          <w:szCs w:val="24"/>
        </w:rPr>
        <w:t xml:space="preserve"> microalbuminuria predictors among patients living with type 2 </w:t>
      </w:r>
      <w:r w:rsidRPr="00772113">
        <w:rPr>
          <w:rFonts w:asciiTheme="majorBidi" w:eastAsia="Calibri" w:hAnsiTheme="majorBidi" w:cstheme="majorBidi"/>
          <w:sz w:val="24"/>
          <w:szCs w:val="24"/>
        </w:rPr>
        <w:t>diabetes</w:t>
      </w:r>
      <w:r w:rsidRPr="00772113">
        <w:rPr>
          <w:rFonts w:asciiTheme="majorBidi" w:hAnsiTheme="majorBidi" w:cstheme="majorBidi"/>
          <w:sz w:val="24"/>
          <w:szCs w:val="24"/>
        </w:rPr>
        <w:t xml:space="preserve"> (T2D) who attended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the</w:t>
      </w:r>
      <w:r w:rsidRPr="00772113">
        <w:rPr>
          <w:rFonts w:asciiTheme="majorBidi" w:hAnsiTheme="majorBidi" w:cstheme="majorBidi"/>
          <w:sz w:val="24"/>
          <w:szCs w:val="24"/>
        </w:rPr>
        <w:t xml:space="preserve"> family medicine department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of</w:t>
      </w:r>
      <w:r w:rsidRPr="00772113">
        <w:rPr>
          <w:rFonts w:asciiTheme="majorBidi" w:hAnsiTheme="majorBidi" w:cstheme="majorBidi"/>
          <w:sz w:val="24"/>
          <w:szCs w:val="24"/>
        </w:rPr>
        <w:t xml:space="preserve"> Jazan Armed Forces Hospital.</w:t>
      </w: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Methodology</w:t>
      </w:r>
      <w:r w:rsidRPr="00772113">
        <w:rPr>
          <w:rFonts w:asciiTheme="majorBidi" w:hAnsiTheme="majorBidi" w:cstheme="majorBidi"/>
          <w:sz w:val="24"/>
          <w:szCs w:val="24"/>
        </w:rPr>
        <w:t xml:space="preserve">: A case-control design was used and included two groups (n, 202/group), one with microalbuminuria and the other </w:t>
      </w:r>
      <w:r w:rsidRPr="00772113">
        <w:rPr>
          <w:rFonts w:asciiTheme="majorBidi" w:eastAsia="Calibri" w:hAnsiTheme="majorBidi" w:cstheme="majorBidi"/>
          <w:sz w:val="24"/>
          <w:szCs w:val="24"/>
        </w:rPr>
        <w:t>with a</w:t>
      </w:r>
      <w:r w:rsidRPr="00772113">
        <w:rPr>
          <w:rFonts w:asciiTheme="majorBidi" w:hAnsiTheme="majorBidi" w:cstheme="majorBidi"/>
          <w:sz w:val="24"/>
          <w:szCs w:val="24"/>
        </w:rPr>
        <w:t xml:space="preserve"> normal urine albumin/creatinine ratio (ACR). Data regarding </w:t>
      </w:r>
      <w:r w:rsidRPr="00772113">
        <w:rPr>
          <w:rFonts w:asciiTheme="majorBidi" w:eastAsia="Calibri" w:hAnsiTheme="majorBidi" w:cstheme="majorBidi"/>
          <w:sz w:val="24"/>
          <w:szCs w:val="24"/>
        </w:rPr>
        <w:t>patient</w:t>
      </w:r>
      <w:r w:rsidRPr="00772113">
        <w:rPr>
          <w:rFonts w:asciiTheme="majorBidi" w:hAnsiTheme="majorBidi" w:cstheme="majorBidi"/>
          <w:sz w:val="24"/>
          <w:szCs w:val="24"/>
        </w:rPr>
        <w:t xml:space="preserve"> history, </w:t>
      </w:r>
      <w:r w:rsidRPr="00772113">
        <w:rPr>
          <w:rFonts w:asciiTheme="majorBidi" w:eastAsia="Calibri" w:hAnsiTheme="majorBidi" w:cstheme="majorBidi"/>
          <w:sz w:val="24"/>
          <w:szCs w:val="24"/>
        </w:rPr>
        <w:t>glycosylated</w:t>
      </w:r>
      <w:r w:rsidRPr="00772113">
        <w:rPr>
          <w:rFonts w:asciiTheme="majorBidi" w:hAnsiTheme="majorBidi" w:cstheme="majorBidi"/>
          <w:sz w:val="24"/>
          <w:szCs w:val="24"/>
        </w:rPr>
        <w:t xml:space="preserve"> hemoglobin (HbA1c), lipid profile, renal function tests, ACR, ASCVD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(atherosclerotic cardiovascular disease) risk, etc., w</w:t>
      </w:r>
      <w:r w:rsidRPr="00772113">
        <w:rPr>
          <w:rFonts w:asciiTheme="majorBidi" w:hAnsiTheme="majorBidi" w:cstheme="majorBidi"/>
          <w:sz w:val="24"/>
          <w:szCs w:val="24"/>
        </w:rPr>
        <w:t>ere collected.</w:t>
      </w:r>
    </w:p>
    <w:p w:rsidR="00E6718E" w:rsidRPr="00772113" w:rsidRDefault="00E6718E" w:rsidP="00E6718E">
      <w:pPr>
        <w:jc w:val="both"/>
        <w:rPr>
          <w:rFonts w:asciiTheme="majorBidi" w:hAnsiTheme="majorBidi" w:cstheme="majorBidi"/>
          <w:sz w:val="24"/>
          <w:szCs w:val="24"/>
        </w:rPr>
      </w:pPr>
      <w:r w:rsidRPr="00850C3E">
        <w:rPr>
          <w:b/>
          <w:bCs/>
        </w:rPr>
        <w:t>Findings</w:t>
      </w:r>
      <w:r w:rsidRPr="00772113">
        <w:rPr>
          <w:rFonts w:asciiTheme="majorBidi" w:hAnsiTheme="majorBidi" w:cstheme="majorBidi"/>
          <w:sz w:val="24"/>
          <w:szCs w:val="24"/>
        </w:rPr>
        <w:t xml:space="preserve">: The prevalence 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rates </w:t>
      </w:r>
      <w:r w:rsidRPr="00772113">
        <w:rPr>
          <w:rFonts w:asciiTheme="majorBidi" w:hAnsiTheme="majorBidi" w:cstheme="majorBidi"/>
          <w:sz w:val="24"/>
          <w:szCs w:val="24"/>
        </w:rPr>
        <w:t>of microalbuminuria and macroalbuminuria were 26.4% and 3.9%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respectively. HbA1c was significantly higher in patients with microalbuminuria (9.3 ±2.2; P˂0.001) and macroalbuminuria (10.5±2.3; P˂0.001) than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in</w:t>
      </w:r>
      <w:r w:rsidRPr="00772113">
        <w:rPr>
          <w:rFonts w:asciiTheme="majorBidi" w:hAnsiTheme="majorBidi" w:cstheme="majorBidi"/>
          <w:sz w:val="24"/>
          <w:szCs w:val="24"/>
        </w:rPr>
        <w:t xml:space="preserve"> those with normal ACR (8.3 ±1.9%). The predictors of </w:t>
      </w:r>
      <w:r w:rsidRPr="00772113">
        <w:rPr>
          <w:rFonts w:asciiTheme="majorBidi" w:eastAsia="Calibri" w:hAnsiTheme="majorBidi" w:cstheme="majorBidi"/>
          <w:sz w:val="24"/>
          <w:szCs w:val="24"/>
        </w:rPr>
        <w:t>microalbuminuria</w:t>
      </w:r>
      <w:r w:rsidRPr="00772113">
        <w:rPr>
          <w:rFonts w:asciiTheme="majorBidi" w:hAnsiTheme="majorBidi" w:cstheme="majorBidi"/>
          <w:sz w:val="24"/>
          <w:szCs w:val="24"/>
        </w:rPr>
        <w:t xml:space="preserve"> were poor glycemic control with HbA1c ≥ </w:t>
      </w:r>
      <w:r w:rsidRPr="00772113">
        <w:rPr>
          <w:rFonts w:asciiTheme="majorBidi" w:eastAsia="Calibri" w:hAnsiTheme="majorBidi" w:cstheme="majorBidi"/>
          <w:sz w:val="24"/>
          <w:szCs w:val="24"/>
        </w:rPr>
        <w:t>7% {OR</w:t>
      </w:r>
      <w:r w:rsidRPr="00772113">
        <w:rPr>
          <w:rFonts w:asciiTheme="majorBidi" w:hAnsiTheme="majorBidi" w:cstheme="majorBidi"/>
          <w:sz w:val="24"/>
          <w:szCs w:val="24"/>
        </w:rPr>
        <w:t>, 2.5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1.5-4.2)}; hypertension {(OR, 1.8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1.2-2.8)}; estimated glomerular filtration rate (eGFR) of ˂90 mL/min/1.73 m2 {OR, 2.2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1.4-3.6}; smoking {OR, 1.3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0.7-2.6}; and body mass index {OR, 1.05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1.01-1.09}.</w:t>
      </w: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772113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772113">
        <w:rPr>
          <w:rFonts w:asciiTheme="majorBidi" w:hAnsiTheme="majorBidi" w:cstheme="majorBidi"/>
          <w:sz w:val="24"/>
          <w:szCs w:val="24"/>
        </w:rPr>
        <w:t>: Microalbuminuria is highly prevalent among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patients with </w:t>
      </w:r>
      <w:r w:rsidRPr="00772113">
        <w:rPr>
          <w:rFonts w:asciiTheme="majorBidi" w:hAnsiTheme="majorBidi" w:cstheme="majorBidi"/>
          <w:sz w:val="24"/>
          <w:szCs w:val="24"/>
        </w:rPr>
        <w:t xml:space="preserve">type 2 diabetes and is associated </w:t>
      </w:r>
      <w:r w:rsidRPr="00772113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with </w:t>
      </w:r>
      <w:r w:rsidRPr="00772113">
        <w:rPr>
          <w:rFonts w:asciiTheme="majorBidi" w:hAnsiTheme="majorBidi" w:cstheme="majorBidi"/>
          <w:sz w:val="24"/>
          <w:szCs w:val="24"/>
        </w:rPr>
        <w:t>poor glycemic control and hypertension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necessitating aggressive and timely screening and treatment.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B537B3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0F82E0" wp14:editId="7E1CB2FF">
            <wp:extent cx="3165475" cy="263956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63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7B6BF7" w:rsidRDefault="007028D5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</w:t>
      </w:r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bdelwahid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HA,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Dahlan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HM,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Mojemamy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GM,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Darraj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GH. Predictors of microalbuminuria and its relationship with glycemic control among Type 2 diabetic patients of Jazan Armed Forces Hospital, southwestern Saudi Arabia. BMC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Endocr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Disord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 xml:space="preserve">. 2022 Dec 8;22(1):307. </w:t>
      </w:r>
      <w:proofErr w:type="spell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doi</w:t>
      </w:r>
      <w:proofErr w:type="spellEnd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: 10.1186/s12902-022-01232-y. PMID: 36482350; PMCID: PMC</w:t>
      </w:r>
      <w:proofErr w:type="gramStart"/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9733223.</w:t>
      </w:r>
      <w:r w:rsidR="005973B9" w:rsidRPr="007B6BF7">
        <w:rPr>
          <w:rFonts w:asciiTheme="majorBidi" w:hAnsiTheme="majorBidi" w:cstheme="majorBidi"/>
          <w:sz w:val="16"/>
          <w:szCs w:val="16"/>
        </w:rPr>
        <w:t>.</w:t>
      </w:r>
      <w:proofErr w:type="gramEnd"/>
    </w:p>
    <w:p w:rsidR="00515010" w:rsidRPr="007B6BF7" w:rsidRDefault="00CA6E7C" w:rsidP="0051501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4"/>
          <w:szCs w:val="14"/>
        </w:rPr>
      </w:pP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Abdelwahid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Hassan A.;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Erwi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Saud M.;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Alahmari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Firas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S.; Ibrahim, Amani A. K.;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Dahlan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</w:t>
      </w:r>
      <w:proofErr w:type="spellStart"/>
      <w:r w:rsidRPr="007B6BF7">
        <w:rPr>
          <w:rFonts w:asciiTheme="majorBidi" w:hAnsiTheme="majorBidi" w:cstheme="majorBidi"/>
          <w:color w:val="000000"/>
          <w:sz w:val="14"/>
          <w:szCs w:val="14"/>
        </w:rPr>
        <w:t>Hesham</w:t>
      </w:r>
      <w:proofErr w:type="spellEnd"/>
      <w:r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M.</w:t>
      </w:r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Pattern and predictors of glycemic control among type 2 diabetics in Armed Forces Hospital of </w:t>
      </w:r>
      <w:proofErr w:type="spellStart"/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>Jizan</w:t>
      </w:r>
      <w:proofErr w:type="spellEnd"/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, southwestern Saudi Arabia. Middle East Journal of Family </w:t>
      </w:r>
      <w:proofErr w:type="gramStart"/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>Medicine .</w:t>
      </w:r>
      <w:proofErr w:type="gramEnd"/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2017, 15 (1), 14-22. </w:t>
      </w:r>
    </w:p>
    <w:p w:rsidR="00CA6E7C" w:rsidRPr="00331896" w:rsidRDefault="00CA6E7C" w:rsidP="00331896">
      <w:pPr>
        <w:tabs>
          <w:tab w:val="left" w:pos="384"/>
        </w:tabs>
        <w:spacing w:line="216" w:lineRule="exact"/>
        <w:ind w:left="99" w:right="138"/>
        <w:rPr>
          <w:rFonts w:asciiTheme="majorBidi" w:hAnsiTheme="majorBidi" w:cstheme="majorBidi"/>
          <w:sz w:val="16"/>
          <w:szCs w:val="16"/>
        </w:rPr>
      </w:pPr>
    </w:p>
    <w:p w:rsidR="007B6BF7" w:rsidRPr="007B6BF7" w:rsidRDefault="00276231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proofErr w:type="spellStart"/>
      <w:r w:rsidRPr="007B6BF7">
        <w:rPr>
          <w:sz w:val="16"/>
          <w:szCs w:val="16"/>
        </w:rPr>
        <w:t>Abdelwahid</w:t>
      </w:r>
      <w:proofErr w:type="spellEnd"/>
      <w:r w:rsidRPr="007B6BF7">
        <w:rPr>
          <w:sz w:val="16"/>
          <w:szCs w:val="16"/>
        </w:rPr>
        <w:t xml:space="preserve"> HA, </w:t>
      </w:r>
      <w:proofErr w:type="spellStart"/>
      <w:r w:rsidRPr="007B6BF7">
        <w:rPr>
          <w:sz w:val="16"/>
          <w:szCs w:val="16"/>
        </w:rPr>
        <w:t>Zekry</w:t>
      </w:r>
      <w:proofErr w:type="spellEnd"/>
      <w:r w:rsidRPr="007B6BF7">
        <w:rPr>
          <w:sz w:val="16"/>
          <w:szCs w:val="16"/>
        </w:rPr>
        <w:t xml:space="preserve"> OA (2012) The Role of Multiple Micronutrients in Treatment of Iron Deficient Anemic Children. Family Med Medical </w:t>
      </w:r>
      <w:proofErr w:type="spellStart"/>
      <w:r w:rsidRPr="007B6BF7">
        <w:rPr>
          <w:sz w:val="16"/>
          <w:szCs w:val="16"/>
        </w:rPr>
        <w:t>Sci</w:t>
      </w:r>
      <w:proofErr w:type="spellEnd"/>
      <w:r w:rsidRPr="007B6BF7">
        <w:rPr>
          <w:sz w:val="16"/>
          <w:szCs w:val="16"/>
        </w:rPr>
        <w:t xml:space="preserve"> Res 1:102. doi:10.4172/2327-4972.1000102</w:t>
      </w:r>
      <w:r w:rsidRPr="007B6BF7">
        <w:rPr>
          <w:rFonts w:asciiTheme="majorBidi" w:hAnsiTheme="majorBidi" w:cstheme="majorBidi"/>
          <w:sz w:val="16"/>
          <w:szCs w:val="16"/>
        </w:rPr>
        <w:t>.</w:t>
      </w:r>
      <w:r w:rsidR="007B6BF7" w:rsidRPr="007B6BF7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368D2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A52075" w:rsidP="00EA4F25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21CA9" w:rsidRDefault="00EA4F25" w:rsidP="00EA4F2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EA4F25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30E1C878" wp14:editId="60D46DB2">
                                  <wp:extent cx="596153" cy="528320"/>
                                  <wp:effectExtent l="0" t="0" r="0" b="5080"/>
                                  <wp:docPr id="12" name="Picture 12" descr="C:\Users\DELL\Desktop\Wonca Oman 2022\Dr Hesham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DELL\Desktop\Wonca Oman 2022\Dr Hesham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936" cy="5361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21CA9">
                              <w:rPr>
                                <w:noProof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09B5B3D5" wp14:editId="1AC0B66B">
                                      <wp:extent cx="304800" cy="304800"/>
                                      <wp:effectExtent l="0" t="0" r="0" b="0"/>
                                      <wp:docPr id="3" name="Rectangle 3" descr="https://apis.mail.yahoo.com/ws/v3/mailboxes/@.id==VjN-icKDvKbCbpA6eHdC3TlHQ8hpYH_VD1yEsziCpToQHrlUuIVKoTRsB2Etqwbaywh_mMhGeHwcT_UQFHgYhMO2HQ/messages/@.id==AMijGPMp0QRbY91BWAuYwASl0nE/content/parts/@.id==2/thumbnail?appid=YMailNorrin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69B13DC7" id="Rectangle 3" o:spid="_x0000_s1026" alt="https://apis.mail.yahoo.com/ws/v3/mailboxes/@.id==VjN-icKDvKbCbpA6eHdC3TlHQ8hpYH_VD1yEsziCpToQHrlUuIVKoTRsB2Etqwbaywh_mMhGeHwcT_UQFHgYhMO2HQ/messages/@.id==AMijGPMp0QRbY91BWAuYwASl0nE/content/parts/@.id==2/thumbnail?appid=YMailNorr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u&#10;mbKtbwMAAKkGAAAOAAAAAAAAAAAAAAAAAC4CAABkcnMvZTJvRG9jLnhtbFBLAQItABQABgAIAAAA&#10;IQBMoOks2AAAAAMBAAAPAAAAAAAAAAAAAAAAAMkFAABkcnMvZG93bnJldi54bWxQSwUGAAAAAAQA&#10;BADzAAAAzgYAAAAA&#10;" filled="f" stroked="f">
                                      <o:lock v:ext="edit" aspectratio="t"/>
                                      <w10:wrap anchorx="page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C21CA9" w:rsidRDefault="00EA4F25" w:rsidP="00EA4F2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EA4F25"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30E1C878" wp14:editId="60D46DB2">
                            <wp:extent cx="596153" cy="528320"/>
                            <wp:effectExtent l="0" t="0" r="0" b="5080"/>
                            <wp:docPr id="12" name="Picture 12" descr="C:\Users\DELL\Desktop\Wonca Oman 2022\Dr Hesham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DELL\Desktop\Wonca Oman 2022\Dr Hesham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4936" cy="5361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21CA9">
                        <w:rPr>
                          <w:noProof/>
                        </w:rPr>
                        <mc:AlternateContent>
                          <mc:Choice Requires="wps">
                            <w:drawing>
                              <wp:inline distT="0" distB="0" distL="0" distR="0" wp14:anchorId="09B5B3D5" wp14:editId="1AC0B66B">
                                <wp:extent cx="304800" cy="304800"/>
                                <wp:effectExtent l="0" t="0" r="0" b="0"/>
                                <wp:docPr id="3" name="Rectangle 3" descr="https://apis.mail.yahoo.com/ws/v3/mailboxes/@.id==VjN-icKDvKbCbpA6eHdC3TlHQ8hpYH_VD1yEsziCpToQHrlUuIVKoTRsB2Etqwbaywh_mMhGeHwcT_UQFHgYhMO2HQ/messages/@.id==AMijGPMp0QRbY91BWAuYwASl0nE/content/parts/@.id==2/thumbnail?appid=YMailNorr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0BEEE928" id="Rectangle 3" o:spid="_x0000_s1026" alt="https://apis.mail.yahoo.com/ws/v3/mailboxes/@.id==VjN-icKDvKbCbpA6eHdC3TlHQ8hpYH_VD1yEsziCpToQHrlUuIVKoTRsB2Etqwbaywh_mMhGeHwcT_UQFHgYhMO2HQ/messages/@.id==AMijGPMp0QRbY91BWAuYwASl0nE/content/parts/@.id==2/thumbnail?appid=YMailNorr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u&#10;mbKtbwMAAKkGAAAOAAAAAAAAAAAAAAAAAC4CAABkcnMvZTJvRG9jLnhtbFBLAQItABQABgAIAAAA&#10;IQBMoOks2AAAAAMBAAAPAAAAAAAAAAAAAAAAAMkFAABkcnMvZG93bnJldi54bWxQSwUGAAAAAAQA&#10;BADzAAAAzgYAAAAA&#10;" filled="f" stroked="f">
                                <o:lock v:ext="edit" aspectratio="t"/>
                                <w10:wrap anchorx="page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800" w:rsidRPr="00556AEE" w:rsidRDefault="00545800" w:rsidP="00331896">
      <w:pPr>
        <w:jc w:val="both"/>
        <w:rPr>
          <w:rFonts w:asciiTheme="majorBidi" w:hAnsiTheme="majorBidi" w:cstheme="majorBidi"/>
          <w:color w:val="000000"/>
          <w:sz w:val="24"/>
          <w:szCs w:val="24"/>
          <w:lang w:val="en-IN"/>
        </w:rPr>
      </w:pPr>
      <w:r w:rsidRPr="00CF1E2D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lang w:val="en-IN"/>
        </w:rPr>
        <w:t>Doctor</w:t>
      </w:r>
      <w:r w:rsidRPr="00556A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31896" w:rsidRPr="00331896">
        <w:rPr>
          <w:rFonts w:asciiTheme="majorBidi" w:eastAsia="Calibri" w:hAnsiTheme="majorBidi" w:cstheme="majorBidi"/>
          <w:b/>
          <w:bCs/>
          <w:sz w:val="24"/>
          <w:szCs w:val="24"/>
        </w:rPr>
        <w:t>Hesham</w:t>
      </w:r>
      <w:proofErr w:type="spellEnd"/>
      <w:r w:rsidR="00331896" w:rsidRPr="00331896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Mohamed </w:t>
      </w:r>
      <w:proofErr w:type="spellStart"/>
      <w:r w:rsidR="00331896" w:rsidRPr="00331896">
        <w:rPr>
          <w:rFonts w:asciiTheme="majorBidi" w:hAnsiTheme="majorBidi" w:cstheme="majorBidi"/>
          <w:b/>
          <w:bCs/>
          <w:sz w:val="24"/>
          <w:szCs w:val="24"/>
        </w:rPr>
        <w:t>Dahlan</w:t>
      </w:r>
      <w:proofErr w:type="spellEnd"/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, </w:t>
      </w:r>
      <w:r w:rsidR="00331896">
        <w:rPr>
          <w:rFonts w:asciiTheme="majorBidi" w:hAnsiTheme="majorBidi" w:cstheme="majorBidi"/>
          <w:color w:val="000000"/>
          <w:sz w:val="24"/>
          <w:szCs w:val="24"/>
          <w:lang w:val="en-IN"/>
        </w:rPr>
        <w:t>Consultant and head of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Family Medicine, </w:t>
      </w:r>
      <w:r w:rsidR="00331896" w:rsidRPr="00602A7C">
        <w:rPr>
          <w:b/>
          <w:bCs/>
          <w:sz w:val="28"/>
          <w:szCs w:val="28"/>
        </w:rPr>
        <w:t>Jazan Armed Forces Hospital</w:t>
      </w:r>
      <w:r w:rsidR="00331896">
        <w:rPr>
          <w:b/>
          <w:bCs/>
          <w:sz w:val="28"/>
          <w:szCs w:val="28"/>
        </w:rPr>
        <w:t xml:space="preserve"> (JAFH)</w:t>
      </w:r>
      <w:r w:rsidR="00331896" w:rsidRPr="00556AEE">
        <w:rPr>
          <w:rFonts w:asciiTheme="majorBidi" w:hAnsiTheme="majorBidi" w:cstheme="majorBidi"/>
          <w:color w:val="000000"/>
          <w:sz w:val="24"/>
          <w:szCs w:val="24"/>
        </w:rPr>
        <w:t>, Saudi Arabia</w:t>
      </w:r>
      <w:r w:rsidR="00331896" w:rsidRPr="00556AEE">
        <w:rPr>
          <w:rFonts w:asciiTheme="majorBidi" w:hAnsiTheme="majorBidi" w:cstheme="majorBidi"/>
          <w:sz w:val="24"/>
          <w:szCs w:val="24"/>
        </w:rPr>
        <w:t xml:space="preserve">.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Dr. </w:t>
      </w:r>
      <w:r w:rsidRPr="00556AEE">
        <w:rPr>
          <w:rFonts w:asciiTheme="majorBidi" w:hAnsiTheme="majorBidi" w:cstheme="majorBidi"/>
          <w:sz w:val="24"/>
          <w:szCs w:val="24"/>
        </w:rPr>
        <w:t xml:space="preserve">He is interested in management of chronic diseases, </w:t>
      </w:r>
      <w:r w:rsidR="00331896">
        <w:rPr>
          <w:rFonts w:asciiTheme="majorBidi" w:hAnsiTheme="majorBidi" w:cstheme="majorBidi"/>
          <w:sz w:val="24"/>
          <w:szCs w:val="24"/>
        </w:rPr>
        <w:t>Obesity</w:t>
      </w:r>
      <w:r w:rsidR="00331896" w:rsidRPr="00556AEE">
        <w:rPr>
          <w:rFonts w:asciiTheme="majorBidi" w:hAnsiTheme="majorBidi" w:cstheme="majorBidi"/>
          <w:sz w:val="24"/>
          <w:szCs w:val="24"/>
        </w:rPr>
        <w:t>, Epidemiology</w:t>
      </w:r>
      <w:r w:rsidRPr="00556AEE">
        <w:rPr>
          <w:rFonts w:asciiTheme="majorBidi" w:hAnsiTheme="majorBidi" w:cstheme="majorBidi"/>
          <w:sz w:val="24"/>
          <w:szCs w:val="24"/>
        </w:rPr>
        <w:t xml:space="preserve">, Health education, research and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>adult learning.</w:t>
      </w:r>
      <w:r w:rsidRPr="00556AEE">
        <w:rPr>
          <w:rFonts w:asciiTheme="majorBidi" w:hAnsiTheme="majorBidi" w:cstheme="majorBidi"/>
          <w:sz w:val="24"/>
          <w:szCs w:val="24"/>
          <w:lang w:val="en-IN"/>
        </w:rPr>
        <w:t xml:space="preserve"> </w:t>
      </w:r>
      <w:r w:rsidR="00331896">
        <w:rPr>
          <w:rFonts w:asciiTheme="majorBidi" w:hAnsiTheme="majorBidi" w:cstheme="majorBidi"/>
          <w:sz w:val="24"/>
          <w:szCs w:val="24"/>
          <w:lang w:val="en-IN"/>
        </w:rPr>
        <w:t xml:space="preserve">Doctor </w:t>
      </w:r>
      <w:proofErr w:type="spellStart"/>
      <w:r w:rsidR="00331896">
        <w:rPr>
          <w:rFonts w:asciiTheme="majorBidi" w:hAnsiTheme="majorBidi" w:cstheme="majorBidi"/>
          <w:sz w:val="24"/>
          <w:szCs w:val="24"/>
          <w:lang w:val="en-IN"/>
        </w:rPr>
        <w:t>Hesham</w:t>
      </w:r>
      <w:proofErr w:type="spellEnd"/>
      <w:r w:rsidR="00331896">
        <w:rPr>
          <w:rFonts w:asciiTheme="majorBidi" w:hAnsiTheme="majorBidi" w:cstheme="majorBidi"/>
          <w:sz w:val="24"/>
          <w:szCs w:val="24"/>
          <w:lang w:val="en-IN"/>
        </w:rPr>
        <w:t xml:space="preserve"> is</w:t>
      </w:r>
      <w:r>
        <w:rPr>
          <w:rFonts w:asciiTheme="majorBidi" w:hAnsiTheme="majorBidi" w:cstheme="majorBidi"/>
          <w:sz w:val="24"/>
          <w:szCs w:val="24"/>
          <w:lang w:val="en-IN"/>
        </w:rPr>
        <w:t xml:space="preserve"> </w:t>
      </w:r>
      <w:r w:rsidR="00331896">
        <w:rPr>
          <w:rFonts w:asciiTheme="majorBidi" w:hAnsiTheme="majorBidi" w:cstheme="majorBidi"/>
          <w:sz w:val="24"/>
          <w:szCs w:val="24"/>
          <w:lang w:val="en-IN"/>
        </w:rPr>
        <w:t>a member</w:t>
      </w:r>
      <w:r>
        <w:rPr>
          <w:rFonts w:asciiTheme="majorBidi" w:hAnsiTheme="majorBidi" w:cstheme="majorBidi"/>
          <w:sz w:val="24"/>
          <w:szCs w:val="24"/>
          <w:lang w:val="en-IN"/>
        </w:rPr>
        <w:t xml:space="preserve"> of Institutional Research Board of JAFH. </w:t>
      </w:r>
      <w:r w:rsidR="00331896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He is certified with Saudi </w:t>
      </w:r>
      <w:r w:rsidR="000020B6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and Arab </w:t>
      </w:r>
      <w:r w:rsidR="00331896">
        <w:rPr>
          <w:rFonts w:asciiTheme="majorBidi" w:hAnsiTheme="majorBidi" w:cstheme="majorBidi"/>
          <w:color w:val="000000"/>
          <w:sz w:val="24"/>
          <w:szCs w:val="24"/>
          <w:lang w:val="en-IN"/>
        </w:rPr>
        <w:t>Board</w:t>
      </w:r>
      <w:r w:rsidR="000020B6">
        <w:rPr>
          <w:rFonts w:asciiTheme="majorBidi" w:hAnsiTheme="majorBidi" w:cstheme="majorBidi"/>
          <w:color w:val="000000"/>
          <w:sz w:val="24"/>
          <w:szCs w:val="24"/>
          <w:lang w:val="en-IN"/>
        </w:rPr>
        <w:t>s</w:t>
      </w:r>
      <w:r w:rsidR="00331896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in family medicine.</w:t>
      </w:r>
    </w:p>
    <w:p w:rsidR="00AE3E37" w:rsidRPr="00545800" w:rsidRDefault="00A9710C" w:rsidP="000020B6">
      <w:pPr>
        <w:spacing w:before="62"/>
        <w:ind w:left="4217" w:right="4235"/>
        <w:jc w:val="center"/>
        <w:rPr>
          <w:rFonts w:ascii="Arial"/>
          <w:sz w:val="16"/>
          <w:szCs w:val="16"/>
        </w:rPr>
      </w:pPr>
      <w:r>
        <w:rPr>
          <w:rFonts w:ascii="Arial"/>
          <w:sz w:val="14"/>
        </w:rPr>
        <w:t xml:space="preserve">Email: </w:t>
      </w:r>
      <w:r w:rsidR="000020B6" w:rsidRPr="000020B6">
        <w:rPr>
          <w:sz w:val="16"/>
          <w:szCs w:val="16"/>
        </w:rPr>
        <w:t>dr.dahlan@gmail.com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6B03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  <w:bookmarkStart w:id="0" w:name="_GoBack"/>
    </w:p>
    <w:bookmarkEnd w:id="0"/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56A2B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E56A2B" w:rsidRPr="00331896">
        <w:rPr>
          <w:rFonts w:asciiTheme="majorBidi" w:eastAsia="Calibri" w:hAnsiTheme="majorBidi" w:cstheme="majorBidi"/>
          <w:b/>
          <w:bCs/>
          <w:sz w:val="24"/>
          <w:szCs w:val="24"/>
        </w:rPr>
        <w:t>Hesham</w:t>
      </w:r>
      <w:proofErr w:type="spellEnd"/>
      <w:r w:rsidR="00E56A2B" w:rsidRPr="00331896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Mohamed </w:t>
      </w:r>
      <w:proofErr w:type="spellStart"/>
      <w:r w:rsidR="00E56A2B" w:rsidRPr="00331896">
        <w:rPr>
          <w:rFonts w:asciiTheme="majorBidi" w:hAnsiTheme="majorBidi" w:cstheme="majorBidi"/>
          <w:b/>
          <w:bCs/>
          <w:sz w:val="24"/>
          <w:szCs w:val="24"/>
        </w:rPr>
        <w:t>Dahlan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E56A2B" w:rsidRPr="00E56A2B">
        <w:rPr>
          <w:sz w:val="20"/>
          <w:szCs w:val="20"/>
          <w:lang w:val="en-NZ"/>
        </w:rPr>
        <w:t xml:space="preserve"> </w:t>
      </w:r>
      <w:r w:rsidR="00E56A2B">
        <w:rPr>
          <w:sz w:val="20"/>
          <w:szCs w:val="20"/>
          <w:lang w:val="en-NZ"/>
        </w:rPr>
        <w:t>00966556007447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:rsidR="00221F45" w:rsidRDefault="00EA7D51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221F45" w:rsidRPr="00221F45">
        <w:rPr>
          <w:rFonts w:ascii="Segoe UI" w:hAnsi="Segoe UI" w:cs="Segoe UI"/>
          <w:color w:val="1D2228"/>
          <w:sz w:val="16"/>
          <w:szCs w:val="16"/>
          <w:shd w:val="clear" w:color="auto" w:fill="FFFFFF"/>
        </w:rPr>
        <w:t>Innovating nursing through research and practice</w:t>
      </w:r>
      <w:r w:rsidRPr="00F35A62">
        <w:rPr>
          <w:sz w:val="20"/>
          <w:szCs w:val="20"/>
          <w:lang w:val="en-NZ"/>
        </w:rPr>
        <w:br/>
        <w:t>Category: (Oral presentation)</w:t>
      </w:r>
    </w:p>
    <w:p w:rsidR="00221F45" w:rsidRDefault="00221F45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CA9" w:rsidRDefault="00C21CA9">
      <w:r>
        <w:separator/>
      </w:r>
    </w:p>
  </w:endnote>
  <w:endnote w:type="continuationSeparator" w:id="0">
    <w:p w:rsidR="00C21CA9" w:rsidRDefault="00C21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CA9" w:rsidRDefault="00C21CA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1CA9" w:rsidRPr="005B3A56" w:rsidRDefault="00C21CA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C21CA9" w:rsidRPr="005B3A56" w:rsidRDefault="00C21CA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C21CA9" w:rsidRPr="005B3A56" w:rsidRDefault="00C21CA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21CA9" w:rsidRPr="005B3A56" w:rsidRDefault="00C21CA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1CA9" w:rsidRPr="005B3A56" w:rsidRDefault="00C21CA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21CA9" w:rsidRPr="005B3A56" w:rsidRDefault="00C21CA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C21CA9" w:rsidRPr="005B3A56" w:rsidRDefault="00C21CA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21CA9" w:rsidRPr="005B3A56" w:rsidRDefault="00C21CA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1CA9" w:rsidRPr="005B3A56" w:rsidRDefault="00C21CA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C21CA9" w:rsidRPr="005B3A56" w:rsidRDefault="00C21CA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C21CA9" w:rsidRPr="005B3A56" w:rsidRDefault="00C21CA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C21CA9" w:rsidRPr="005B3A56" w:rsidRDefault="00C21CA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CA9" w:rsidRDefault="00C21CA9">
      <w:r>
        <w:separator/>
      </w:r>
    </w:p>
  </w:footnote>
  <w:footnote w:type="continuationSeparator" w:id="0">
    <w:p w:rsidR="00C21CA9" w:rsidRDefault="00C21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0B6"/>
    <w:rsid w:val="000534A1"/>
    <w:rsid w:val="0006797A"/>
    <w:rsid w:val="000B4CAA"/>
    <w:rsid w:val="000E2911"/>
    <w:rsid w:val="001263DF"/>
    <w:rsid w:val="001A4FFE"/>
    <w:rsid w:val="00221F45"/>
    <w:rsid w:val="00276231"/>
    <w:rsid w:val="002923CD"/>
    <w:rsid w:val="00292ED9"/>
    <w:rsid w:val="00331896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15010"/>
    <w:rsid w:val="00545800"/>
    <w:rsid w:val="00590D60"/>
    <w:rsid w:val="005973B9"/>
    <w:rsid w:val="005B3A56"/>
    <w:rsid w:val="006060CE"/>
    <w:rsid w:val="0061505C"/>
    <w:rsid w:val="0063497F"/>
    <w:rsid w:val="006913BD"/>
    <w:rsid w:val="007028D5"/>
    <w:rsid w:val="00714354"/>
    <w:rsid w:val="007B6BF7"/>
    <w:rsid w:val="00850C3E"/>
    <w:rsid w:val="00873DF0"/>
    <w:rsid w:val="008756E6"/>
    <w:rsid w:val="00897EC5"/>
    <w:rsid w:val="008A0763"/>
    <w:rsid w:val="008E5477"/>
    <w:rsid w:val="009977D5"/>
    <w:rsid w:val="009B2D44"/>
    <w:rsid w:val="00A07E82"/>
    <w:rsid w:val="00A52075"/>
    <w:rsid w:val="00A9710C"/>
    <w:rsid w:val="00AE3E37"/>
    <w:rsid w:val="00B21A57"/>
    <w:rsid w:val="00B537B3"/>
    <w:rsid w:val="00BE6743"/>
    <w:rsid w:val="00C21CA9"/>
    <w:rsid w:val="00C33602"/>
    <w:rsid w:val="00C56C74"/>
    <w:rsid w:val="00CA6E7C"/>
    <w:rsid w:val="00CB087D"/>
    <w:rsid w:val="00CD442E"/>
    <w:rsid w:val="00CD6F55"/>
    <w:rsid w:val="00DE3104"/>
    <w:rsid w:val="00DE6170"/>
    <w:rsid w:val="00E30AAC"/>
    <w:rsid w:val="00E56A2B"/>
    <w:rsid w:val="00E6718E"/>
    <w:rsid w:val="00E92B31"/>
    <w:rsid w:val="00E95D97"/>
    <w:rsid w:val="00EA4F25"/>
    <w:rsid w:val="00EA7D51"/>
    <w:rsid w:val="00EB050F"/>
    <w:rsid w:val="00F046EA"/>
    <w:rsid w:val="00F237AC"/>
    <w:rsid w:val="00F312EA"/>
    <w:rsid w:val="00F35A62"/>
    <w:rsid w:val="00F72EEA"/>
    <w:rsid w:val="00F84CAE"/>
    <w:rsid w:val="00FA41DE"/>
    <w:rsid w:val="00FE1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A5CCEA5"/>
  <w15:docId w15:val="{08491DCE-107E-4DE1-91C3-22A10C18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rsid w:val="00545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6</cp:revision>
  <dcterms:created xsi:type="dcterms:W3CDTF">2023-02-03T16:53:00Z</dcterms:created>
  <dcterms:modified xsi:type="dcterms:W3CDTF">2023-02-03T17:38:00Z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