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both"/>
      </w:pPr>
      <w:r>
        <w:rPr>
          <w:color w:val="337AB7"/>
        </w:rPr>
        <w:t>M1A regulator-mediated methylation modification and their prognostic value in multiple myeloma</w:t>
      </w:r>
    </w:p>
    <w:p>
      <w:pPr>
        <w:pStyle w:val="5"/>
        <w:keepNext w:val="0"/>
        <w:keepLines w:val="0"/>
        <w:pageBreakBefore w:val="0"/>
        <w:widowControl w:val="0"/>
        <w:kinsoku/>
        <w:wordWrap/>
        <w:overflowPunct/>
        <w:topLinePunct w:val="0"/>
        <w:autoSpaceDE/>
        <w:autoSpaceDN/>
        <w:bidi w:val="0"/>
        <w:adjustRightInd/>
        <w:snapToGrid/>
        <w:spacing w:line="281" w:lineRule="auto"/>
        <w:ind w:left="0" w:leftChars="0" w:right="0" w:firstLine="0" w:firstLineChars="0"/>
        <w:jc w:val="left"/>
        <w:textAlignment w:val="auto"/>
        <w:rPr>
          <w:rFonts w:ascii="Arial"/>
        </w:rPr>
      </w:pPr>
    </w:p>
    <w:p>
      <w:pPr>
        <w:pStyle w:val="5"/>
        <w:keepNext w:val="0"/>
        <w:keepLines w:val="0"/>
        <w:pageBreakBefore w:val="0"/>
        <w:widowControl w:val="0"/>
        <w:kinsoku/>
        <w:wordWrap/>
        <w:overflowPunct/>
        <w:topLinePunct w:val="0"/>
        <w:autoSpaceDE/>
        <w:autoSpaceDN/>
        <w:bidi w:val="0"/>
        <w:adjustRightInd/>
        <w:snapToGrid/>
        <w:spacing w:line="281" w:lineRule="auto"/>
        <w:ind w:left="0" w:leftChars="0" w:right="0" w:firstLine="0" w:firstLineChars="0"/>
        <w:jc w:val="left"/>
        <w:textAlignment w:val="auto"/>
        <w:rPr>
          <w:rFonts w:hint="default" w:ascii="Arial"/>
          <w:lang w:val="en-US" w:eastAsia="zh-CN"/>
        </w:rPr>
      </w:pPr>
      <w:r>
        <w:rPr>
          <w:rFonts w:ascii="Arial"/>
        </w:rPr>
        <w:t xml:space="preserve">Jiaqi Fu, </w:t>
      </w:r>
      <w:r>
        <w:rPr>
          <w:rFonts w:hint="eastAsia" w:ascii="Arial"/>
          <w:lang w:val="en-US" w:eastAsia="zh-CN"/>
        </w:rPr>
        <w:t>M.S, Shandong University of TCM, China</w:t>
      </w:r>
    </w:p>
    <w:p>
      <w:pPr>
        <w:pStyle w:val="5"/>
        <w:keepNext w:val="0"/>
        <w:keepLines w:val="0"/>
        <w:pageBreakBefore w:val="0"/>
        <w:widowControl w:val="0"/>
        <w:kinsoku/>
        <w:wordWrap/>
        <w:overflowPunct/>
        <w:topLinePunct w:val="0"/>
        <w:autoSpaceDE/>
        <w:autoSpaceDN/>
        <w:bidi w:val="0"/>
        <w:adjustRightInd/>
        <w:snapToGrid/>
        <w:spacing w:line="281" w:lineRule="auto"/>
        <w:ind w:left="0" w:leftChars="0" w:right="0" w:firstLine="0" w:firstLineChars="0"/>
        <w:jc w:val="left"/>
        <w:textAlignment w:val="auto"/>
        <w:rPr>
          <w:rFonts w:hint="default" w:ascii="Arial"/>
          <w:lang w:val="en-US" w:eastAsia="zh-CN"/>
        </w:rPr>
      </w:pPr>
      <w:r>
        <w:rPr>
          <w:rFonts w:ascii="Arial"/>
        </w:rPr>
        <w:t>Xing Cui</w:t>
      </w:r>
      <w:r>
        <w:rPr>
          <w:rFonts w:hint="eastAsia" w:ascii="Arial"/>
          <w:lang w:val="en-US" w:eastAsia="zh-CN"/>
        </w:rPr>
        <w:t>*, M.D, The Second Affiliated Hospital of Shandong University of TCM, China</w:t>
      </w:r>
    </w:p>
    <w:p>
      <w:pPr>
        <w:pStyle w:val="5"/>
        <w:keepNext w:val="0"/>
        <w:keepLines w:val="0"/>
        <w:pageBreakBefore w:val="0"/>
        <w:widowControl w:val="0"/>
        <w:kinsoku/>
        <w:wordWrap/>
        <w:overflowPunct/>
        <w:topLinePunct w:val="0"/>
        <w:autoSpaceDE/>
        <w:autoSpaceDN/>
        <w:bidi w:val="0"/>
        <w:adjustRightInd/>
        <w:snapToGrid/>
        <w:spacing w:line="281" w:lineRule="auto"/>
        <w:ind w:left="0" w:leftChars="0" w:right="0" w:firstLine="0" w:firstLineChars="0"/>
        <w:jc w:val="left"/>
        <w:textAlignment w:val="auto"/>
        <w:rPr>
          <w:rFonts w:ascii="Arial"/>
        </w:rPr>
      </w:pPr>
      <w:r>
        <w:rPr>
          <w:rFonts w:ascii="Arial"/>
        </w:rPr>
        <w:t>*Correspondence to: Xing Cui, M.D and Ph.D. Taishan Scholar, Professor. Email: cdz45@foxmail.com.</w:t>
      </w:r>
    </w:p>
    <w:p>
      <w:pPr>
        <w:pStyle w:val="5"/>
        <w:rPr>
          <w:rFonts w:ascii="Arial"/>
          <w:sz w:val="20"/>
        </w:rPr>
      </w:pP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5"/>
        <w:spacing w:before="90" w:line="280" w:lineRule="auto"/>
        <w:ind w:left="100"/>
        <w:jc w:val="both"/>
        <w:rPr/>
      </w:pPr>
      <w:r>
        <w:t>Statement of the Problem</w:t>
      </w:r>
      <w:r>
        <w:rPr>
          <w:rFonts w:hint="eastAsia"/>
          <w:lang w:val="en-US" w:eastAsia="zh-CN"/>
        </w:rPr>
        <w:t xml:space="preserve">: </w:t>
      </w:r>
      <w:r>
        <w:t xml:space="preserve">N1‑methyladenosine (m1A), a dynamic modification of RNA with </w:t>
      </w:r>
      <w:r>
        <w:rPr>
          <w:rFonts w:hint="eastAsia"/>
        </w:rPr>
        <w:t>strong enrichment in the 5′-UTR</w:t>
      </w:r>
      <w:r>
        <w:t>, is gaining attention for its role across diverse biological and pathological processes such as</w:t>
      </w:r>
      <w:r>
        <w:rPr>
          <w:rFonts w:hint="eastAsia"/>
        </w:rPr>
        <w:t xml:space="preserve"> </w:t>
      </w:r>
      <w:r>
        <w:t>cell differentiation, stress response and tumorigenesis. However, the m1A regulator-mediated methylation modification in multiple myeloma (MM) remains unclear.</w:t>
      </w:r>
      <w:r>
        <w:rPr>
          <w:rFonts w:hint="eastAsia"/>
          <w:lang w:val="en-US" w:eastAsia="zh-CN"/>
        </w:rPr>
        <w:t xml:space="preserve"> </w:t>
      </w:r>
      <w:r>
        <w:t>The purpose of this study</w:t>
      </w:r>
      <w:r>
        <w:rPr>
          <w:rFonts w:hint="eastAsia"/>
          <w:lang w:val="en-US" w:eastAsia="zh-CN"/>
        </w:rPr>
        <w:t xml:space="preserve"> is t</w:t>
      </w:r>
      <w:r>
        <w:t>o investigate the transcriptomic m1A landscape and identify potential prognostic regulators in MM progression</w:t>
      </w:r>
      <w:r>
        <w:rPr>
          <w:rFonts w:hint="eastAsia"/>
        </w:rPr>
        <w:t>.</w:t>
      </w:r>
      <w:r>
        <w:rPr>
          <w:rFonts w:hint="eastAsia"/>
          <w:lang w:val="en-US" w:eastAsia="zh-CN"/>
        </w:rPr>
        <w:t xml:space="preserve"> Methodology &amp; Theoretical Orientation: </w:t>
      </w:r>
      <w:r>
        <w:t>We analyzed the expression of 10 m1A regulators and evaluated their prognostic value in three GEO datasets. Then, unsupervised clustering analysis was performed to evaluate the m1A modification patterns in MM and the m1A score was constructed to quantify m1A modification patterns of individual tumors. Additionally, the potential role of YTHDF2 in MM pathogenesis was investigated in U266 cells.</w:t>
      </w:r>
      <w:r>
        <w:rPr>
          <w:rFonts w:hint="eastAsia"/>
          <w:lang w:val="en-US" w:eastAsia="zh-CN"/>
        </w:rPr>
        <w:t xml:space="preserve"> Findings: </w:t>
      </w:r>
      <w:r>
        <w:t xml:space="preserve">Compared with healthy donors, the expression of three m1A readers was significantly upregulated in MM patients </w:t>
      </w:r>
      <w:r>
        <w:rPr>
          <w:rFonts w:hint="eastAsia"/>
          <w:lang w:val="en-US" w:eastAsia="zh-CN"/>
        </w:rPr>
        <w:t xml:space="preserve">and </w:t>
      </w:r>
      <w:r>
        <w:t>YTHDF2</w:t>
      </w:r>
      <w:r>
        <w:rPr>
          <w:rFonts w:hint="eastAsia"/>
          <w:lang w:val="en-US" w:eastAsia="zh-CN"/>
        </w:rPr>
        <w:t xml:space="preserve"> </w:t>
      </w:r>
      <w:r>
        <w:t xml:space="preserve">could be independent prognostic factors for MM (Figure </w:t>
      </w:r>
      <w:r>
        <w:rPr>
          <w:rFonts w:hint="eastAsia"/>
          <w:lang w:val="en-US" w:eastAsia="zh-CN"/>
        </w:rPr>
        <w:t xml:space="preserve">A, </w:t>
      </w:r>
      <w:r>
        <w:t xml:space="preserve">B). </w:t>
      </w:r>
      <w:r>
        <w:rPr>
          <w:rFonts w:hint="eastAsia"/>
          <w:lang w:val="en-US" w:eastAsia="zh-CN"/>
        </w:rPr>
        <w:t>T</w:t>
      </w:r>
      <w:r>
        <w:t>hree distinct modification patterns were identified, which were termed by clusters A-C</w:t>
      </w:r>
      <w:r>
        <w:rPr>
          <w:rFonts w:hint="eastAsia"/>
          <w:lang w:val="en-US" w:eastAsia="zh-CN"/>
        </w:rPr>
        <w:t>,</w:t>
      </w:r>
      <w:r>
        <w:t xml:space="preserve"> respectively. There was a wors</w:t>
      </w:r>
      <w:r>
        <w:rPr>
          <w:rFonts w:hint="eastAsia"/>
          <w:lang w:val="en-US" w:eastAsia="zh-CN"/>
        </w:rPr>
        <w:t>t</w:t>
      </w:r>
      <w:r>
        <w:t xml:space="preserve"> outcome in cluster B, characterized by the increased expression o</w:t>
      </w:r>
      <w:r>
        <w:rPr>
          <w:rFonts w:hint="eastAsia"/>
          <w:lang w:val="en-US" w:eastAsia="zh-CN"/>
        </w:rPr>
        <w:t xml:space="preserve">f </w:t>
      </w:r>
      <w:r>
        <w:t>YTHDF2</w:t>
      </w:r>
      <w:r>
        <w:rPr>
          <w:rFonts w:hint="eastAsia"/>
          <w:lang w:val="en-US" w:eastAsia="zh-CN"/>
        </w:rPr>
        <w:t xml:space="preserve"> </w:t>
      </w:r>
      <w:r>
        <w:t xml:space="preserve">and remarkably deficient in innate immune cell infiltration (Figure C-E). Then, the K-M survival curve revealed that patients with low m1Ascores had a prominent survival probability (Figure F). Coincidentally, cluster B with a worse outcome exhibited the highest median score (Figure G). The reader protein YTHDF2 is associated with poor survival of MM patients and showed great superiority as a prognostic factor. </w:t>
      </w:r>
      <w:r>
        <w:rPr>
          <w:rFonts w:hint="eastAsia"/>
          <w:lang w:val="en-US" w:eastAsia="zh-CN"/>
        </w:rPr>
        <w:t>C</w:t>
      </w:r>
      <w:r>
        <w:t xml:space="preserve">ell experiments demonstrated that YTHDF2 could promote the proliferation and inhibit apoptosis of U266 cells </w:t>
      </w:r>
      <w:r>
        <w:rPr>
          <w:rFonts w:hint="eastAsia"/>
          <w:lang w:val="en-US" w:eastAsia="zh-CN"/>
        </w:rPr>
        <w:t>and</w:t>
      </w:r>
      <w:r>
        <w:t xml:space="preserve"> increased m1A level</w:t>
      </w:r>
      <w:r>
        <w:rPr>
          <w:rFonts w:hint="eastAsia"/>
          <w:lang w:val="en-US" w:eastAsia="zh-CN"/>
        </w:rPr>
        <w:t xml:space="preserve"> </w:t>
      </w:r>
      <w:r>
        <w:t xml:space="preserve">(Figure </w:t>
      </w:r>
      <w:r>
        <w:rPr>
          <w:rFonts w:hint="eastAsia"/>
          <w:lang w:val="en-US" w:eastAsia="zh-CN"/>
        </w:rPr>
        <w:t>H-</w:t>
      </w:r>
      <w:r>
        <w:t>J).</w:t>
      </w:r>
      <w:r>
        <w:rPr>
          <w:rFonts w:hint="eastAsia"/>
          <w:lang w:val="en-US" w:eastAsia="zh-CN"/>
        </w:rPr>
        <w:t xml:space="preserve"> Conclusion &amp; Significance: </w:t>
      </w:r>
      <w:r>
        <w:t>This study identified the modification patterns and their superior prognostic value of m1A regulators and demonstrated that the reader protein YTHDF2 is a potentially crucial target for MM.</w:t>
      </w:r>
    </w:p>
    <w:p>
      <w:pPr>
        <w:pStyle w:val="5"/>
        <w:spacing w:before="90" w:line="280" w:lineRule="auto"/>
        <w:ind w:left="100"/>
        <w:jc w:val="both"/>
      </w:pPr>
    </w:p>
    <w:p>
      <w:pPr>
        <w:pStyle w:val="4"/>
        <w:spacing w:before="74"/>
      </w:pPr>
      <w:r>
        <w:rPr>
          <w:b w:val="0"/>
        </w:rPr>
        <w:br w:type="column"/>
      </w:r>
      <w:r>
        <w:rPr>
          <w:color w:val="BF5A14"/>
        </w:rPr>
        <w:t>Image</w:t>
      </w:r>
    </w:p>
    <w:p>
      <w:pPr>
        <w:pStyle w:val="5"/>
        <w:spacing w:before="2"/>
        <w:jc w:val="center"/>
        <w:rPr>
          <w:rFonts w:ascii="Arial"/>
          <w:b/>
          <w:sz w:val="16"/>
        </w:rPr>
      </w:pPr>
      <w:r>
        <w:drawing>
          <wp:inline distT="0" distB="0" distL="0" distR="0">
            <wp:extent cx="3239770" cy="3822700"/>
            <wp:effectExtent l="0" t="0" r="1143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239770" cy="3822700"/>
                    </a:xfrm>
                    <a:prstGeom prst="rect">
                      <a:avLst/>
                    </a:prstGeom>
                    <a:noFill/>
                    <a:ln>
                      <a:noFill/>
                    </a:ln>
                  </pic:spPr>
                </pic:pic>
              </a:graphicData>
            </a:graphic>
          </wp:inline>
        </w:drawing>
      </w: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keepNext w:val="0"/>
        <w:keepLines w:val="0"/>
        <w:pageBreakBefore w:val="0"/>
        <w:widowControl w:val="0"/>
        <w:tabs>
          <w:tab w:val="left" w:pos="384"/>
        </w:tabs>
        <w:kinsoku/>
        <w:wordWrap/>
        <w:overflowPunct/>
        <w:topLinePunct w:val="0"/>
        <w:autoSpaceDE/>
        <w:autoSpaceDN/>
        <w:bidi w:val="0"/>
        <w:adjustRightInd/>
        <w:snapToGrid/>
        <w:spacing w:line="281" w:lineRule="auto"/>
        <w:ind w:right="119"/>
        <w:textAlignment w:val="auto"/>
        <w:rPr>
          <w:rFonts w:ascii="Tw Cen MT" w:hAnsi="Tw Cen MT" w:eastAsia="Tw Cen MT" w:cs="Tw Cen MT"/>
          <w:sz w:val="18"/>
          <w:szCs w:val="18"/>
          <w:lang w:val="en-US" w:eastAsia="en-US" w:bidi="ar-SA"/>
        </w:rPr>
      </w:pPr>
      <w:r>
        <w:rPr>
          <w:rFonts w:ascii="Tw Cen MT" w:hAnsi="Tw Cen MT" w:eastAsia="Tw Cen MT" w:cs="Tw Cen MT"/>
          <w:sz w:val="18"/>
          <w:szCs w:val="18"/>
          <w:lang w:val="en-US" w:eastAsia="en-US" w:bidi="ar-SA"/>
        </w:rPr>
        <w:t>1. Haruehanroengra P, Zheng YY, Zhou Y, et al. RNA modifications and cancer. RNA Biol. 2020;17(11):1560-1575.</w:t>
      </w:r>
    </w:p>
    <w:p>
      <w:pPr>
        <w:keepNext w:val="0"/>
        <w:keepLines w:val="0"/>
        <w:pageBreakBefore w:val="0"/>
        <w:widowControl w:val="0"/>
        <w:tabs>
          <w:tab w:val="left" w:pos="384"/>
        </w:tabs>
        <w:kinsoku/>
        <w:wordWrap/>
        <w:overflowPunct/>
        <w:topLinePunct w:val="0"/>
        <w:autoSpaceDE/>
        <w:autoSpaceDN/>
        <w:bidi w:val="0"/>
        <w:adjustRightInd/>
        <w:snapToGrid/>
        <w:spacing w:line="281" w:lineRule="auto"/>
        <w:ind w:right="119"/>
        <w:textAlignment w:val="auto"/>
        <w:rPr>
          <w:rFonts w:hint="eastAsia" w:ascii="Tw Cen MT" w:hAnsi="Tw Cen MT" w:eastAsia="Tw Cen MT" w:cs="Tw Cen MT"/>
          <w:sz w:val="18"/>
          <w:szCs w:val="18"/>
          <w:lang w:val="en-US" w:eastAsia="en-US" w:bidi="ar-SA"/>
        </w:rPr>
      </w:pPr>
      <w:r>
        <w:rPr>
          <w:rFonts w:ascii="Tw Cen MT" w:hAnsi="Tw Cen MT" w:eastAsia="Tw Cen MT" w:cs="Tw Cen MT"/>
          <w:sz w:val="18"/>
          <w:szCs w:val="18"/>
          <w:lang w:val="en-US" w:eastAsia="en-US" w:bidi="ar-SA"/>
        </w:rPr>
        <w:t>2. Zou J, Liu H, Tan W, et al. Dynamic regulation and key roles of ribonucleic acid methylation. Front Cell Neurosci. 2022;16:1058083.</w:t>
      </w:r>
    </w:p>
    <w:p>
      <w:pPr>
        <w:tabs>
          <w:tab w:val="left" w:pos="384"/>
        </w:tabs>
        <w:ind w:right="117"/>
      </w:pPr>
    </w:p>
    <w:p>
      <w:pPr>
        <w:spacing w:line="200" w:lineRule="exact"/>
        <w:jc w:val="both"/>
        <w:rPr>
          <w:rFonts w:ascii="Calibri" w:hAnsi="Calibri"/>
        </w:rPr>
        <w:sectPr>
          <w:type w:val="continuous"/>
          <w:pgSz w:w="11910" w:h="16840"/>
          <w:pgMar w:top="995"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ln>
                        <a:effectLst/>
                      </wps:spPr>
                      <wps:txbx>
                        <w:txbxContent>
                          <w:p>
                            <w:pPr>
                              <w:rPr>
                                <w:b/>
                                <w:color w:val="0000FF"/>
                                <w:lang w:val="en-IN"/>
                              </w:rPr>
                            </w:pP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44.9pt;width:79.7pt;z-index:251661312;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Is5dNYAAAAJAQAADwAA&#10;AAAAAAABACAAAAAiAAAAZHJzL2Rvd25yZXYueG1sUEsBAhQAFAAAAAgAh07iQP8l2LlRAgAAuAQA&#10;AA4AAAAAAAAAAQAgAAAAJQEAAGRycy9lMm9Eb2MueG1sUEsFBgAAAAAGAAYAWQEAAOgFAAAAAA==&#10;">
                <v:fill on="t" focussize="0,0"/>
                <v:stroke weight="2.5pt" color="#9BBB59" joinstyle="round"/>
                <v:imagedata o:title=""/>
                <o:lock v:ext="edit" aspectratio="f"/>
                <v:textbox>
                  <w:txbxContent>
                    <w:p>
                      <w:pPr>
                        <w:rPr>
                          <w:b/>
                          <w:color w:val="0000FF"/>
                          <w:lang w:val="en-IN"/>
                        </w:rPr>
                      </w:pPr>
                    </w:p>
                  </w:txbxContent>
                </v:textbox>
              </v:roundrect>
            </w:pict>
          </mc:Fallback>
        </mc:AlternateContent>
      </w:r>
      <w:r>
        <w:t xml:space="preserve">              </w:t>
      </w:r>
      <w:r>
        <w:drawing>
          <wp:inline distT="0" distB="0" distL="0" distR="0">
            <wp:extent cx="466725" cy="622935"/>
            <wp:effectExtent l="0" t="0" r="3175" b="12065"/>
            <wp:docPr id="5" name="Picture 5" descr="D:\Desktop\wae\5.本人\蓝底.jpg蓝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Desktop\wae\5.本人\蓝底.jpg蓝底"/>
                    <pic:cNvPicPr>
                      <a:picLocks noChangeAspect="1" noChangeArrowheads="1"/>
                    </pic:cNvPicPr>
                  </pic:nvPicPr>
                  <pic:blipFill>
                    <a:blip r:embed="rId6"/>
                    <a:srcRect/>
                    <a:stretch>
                      <a:fillRect/>
                    </a:stretch>
                  </pic:blipFill>
                  <pic:spPr>
                    <a:xfrm>
                      <a:off x="0" y="0"/>
                      <a:ext cx="466725" cy="625069"/>
                    </a:xfrm>
                    <a:prstGeom prst="rect">
                      <a:avLst/>
                    </a:prstGeom>
                    <a:noFill/>
                    <a:ln>
                      <a:noFill/>
                    </a:ln>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pPr>
        <w:keepNext w:val="0"/>
        <w:keepLines w:val="0"/>
        <w:pageBreakBefore w:val="0"/>
        <w:widowControl w:val="0"/>
        <w:kinsoku/>
        <w:wordWrap/>
        <w:overflowPunct/>
        <w:topLinePunct w:val="0"/>
        <w:autoSpaceDE/>
        <w:autoSpaceDN/>
        <w:bidi w:val="0"/>
        <w:adjustRightInd/>
        <w:snapToGrid/>
        <w:ind w:right="0"/>
        <w:textAlignment w:val="auto"/>
        <w:rPr>
          <w:rFonts w:hint="eastAsia" w:ascii="Tw Cen MT" w:hAnsi="Tw Cen MT" w:eastAsia="Tw Cen MT" w:cs="Tw Cen MT"/>
          <w:sz w:val="18"/>
          <w:szCs w:val="18"/>
          <w:lang w:val="en-US" w:eastAsia="zh-CN" w:bidi="ar-SA"/>
        </w:rPr>
      </w:pPr>
      <w:r>
        <w:rPr>
          <w:rFonts w:hint="eastAsia" w:ascii="Tw Cen MT" w:hAnsi="Tw Cen MT" w:eastAsia="Tw Cen MT" w:cs="Tw Cen MT"/>
          <w:sz w:val="18"/>
          <w:szCs w:val="18"/>
          <w:lang w:val="en-US" w:eastAsia="en-US" w:bidi="ar-SA"/>
        </w:rPr>
        <w:t>Jiaqi</w:t>
      </w:r>
      <w:r>
        <w:rPr>
          <w:rFonts w:hint="eastAsia" w:eastAsia="宋体" w:cs="Tw Cen MT"/>
          <w:sz w:val="18"/>
          <w:szCs w:val="18"/>
          <w:lang w:val="en-US" w:eastAsia="zh-CN" w:bidi="ar-SA"/>
        </w:rPr>
        <w:t xml:space="preserve"> Fu</w:t>
      </w:r>
      <w:r>
        <w:rPr>
          <w:rFonts w:hint="eastAsia" w:ascii="Tw Cen MT" w:hAnsi="Tw Cen MT" w:eastAsia="Tw Cen MT" w:cs="Tw Cen MT"/>
          <w:sz w:val="18"/>
          <w:szCs w:val="18"/>
          <w:lang w:val="en-US" w:eastAsia="en-US" w:bidi="ar-SA"/>
        </w:rPr>
        <w:t xml:space="preserve">, </w:t>
      </w:r>
      <w:r>
        <w:rPr>
          <w:rFonts w:hint="eastAsia" w:eastAsia="宋体" w:cs="Tw Cen MT"/>
          <w:sz w:val="18"/>
          <w:szCs w:val="18"/>
          <w:lang w:val="en-US" w:eastAsia="zh-CN" w:bidi="ar-SA"/>
        </w:rPr>
        <w:t xml:space="preserve">M.S, </w:t>
      </w:r>
      <w:r>
        <w:rPr>
          <w:rFonts w:hint="eastAsia" w:ascii="Tw Cen MT" w:hAnsi="Tw Cen MT" w:eastAsia="Tw Cen MT" w:cs="Tw Cen MT"/>
          <w:sz w:val="18"/>
          <w:szCs w:val="18"/>
          <w:lang w:val="en-US" w:eastAsia="en-US" w:bidi="ar-SA"/>
        </w:rPr>
        <w:t>studying at Shandong University of Traditional Chinese Medicine</w:t>
      </w:r>
      <w:r>
        <w:rPr>
          <w:rFonts w:hint="eastAsia" w:eastAsia="宋体" w:cs="Tw Cen MT"/>
          <w:sz w:val="18"/>
          <w:szCs w:val="18"/>
          <w:lang w:val="en-US" w:eastAsia="zh-CN" w:bidi="ar-SA"/>
        </w:rPr>
        <w:t xml:space="preserve"> as postgraduate</w:t>
      </w:r>
      <w:bookmarkStart w:id="0" w:name="_GoBack"/>
      <w:bookmarkEnd w:id="0"/>
      <w:r>
        <w:rPr>
          <w:rFonts w:hint="eastAsia" w:ascii="Tw Cen MT" w:hAnsi="Tw Cen MT" w:eastAsia="Tw Cen MT" w:cs="Tw Cen MT"/>
          <w:sz w:val="18"/>
          <w:szCs w:val="18"/>
          <w:lang w:val="en-US" w:eastAsia="en-US" w:bidi="ar-SA"/>
        </w:rPr>
        <w:t xml:space="preserve"> </w:t>
      </w:r>
      <w:r>
        <w:rPr>
          <w:rFonts w:hint="eastAsia" w:eastAsia="宋体" w:cs="Tw Cen MT"/>
          <w:sz w:val="18"/>
          <w:szCs w:val="18"/>
          <w:lang w:val="en-US" w:eastAsia="zh-CN" w:bidi="ar-SA"/>
        </w:rPr>
        <w:t>from</w:t>
      </w:r>
      <w:r>
        <w:rPr>
          <w:rFonts w:hint="eastAsia" w:ascii="Tw Cen MT" w:hAnsi="Tw Cen MT" w:eastAsia="Tw Cen MT" w:cs="Tw Cen MT"/>
          <w:sz w:val="18"/>
          <w:szCs w:val="18"/>
          <w:lang w:val="en-US" w:eastAsia="en-US" w:bidi="ar-SA"/>
        </w:rPr>
        <w:t xml:space="preserve"> 2022,</w:t>
      </w:r>
      <w:r>
        <w:rPr>
          <w:rFonts w:hint="eastAsia" w:eastAsia="宋体" w:cs="Tw Cen MT"/>
          <w:sz w:val="18"/>
          <w:szCs w:val="18"/>
          <w:lang w:val="en-US" w:eastAsia="zh-CN" w:bidi="ar-SA"/>
        </w:rPr>
        <w:t xml:space="preserve"> </w:t>
      </w:r>
      <w:r>
        <w:rPr>
          <w:rFonts w:hint="eastAsia" w:ascii="Tw Cen MT" w:hAnsi="Tw Cen MT" w:eastAsia="Tw Cen MT" w:cs="Tw Cen MT"/>
          <w:sz w:val="18"/>
          <w:szCs w:val="18"/>
          <w:lang w:val="en-US" w:eastAsia="en-US" w:bidi="ar-SA"/>
        </w:rPr>
        <w:t>studied with Taishan Scholar</w:t>
      </w:r>
      <w:r>
        <w:rPr>
          <w:rFonts w:hint="eastAsia" w:eastAsia="宋体" w:cs="Tw Cen MT"/>
          <w:sz w:val="18"/>
          <w:szCs w:val="18"/>
          <w:lang w:val="en-US" w:eastAsia="zh-CN" w:bidi="ar-SA"/>
        </w:rPr>
        <w:t xml:space="preserve"> </w:t>
      </w:r>
      <w:r>
        <w:rPr>
          <w:rFonts w:hint="eastAsia" w:ascii="Tw Cen MT" w:hAnsi="Tw Cen MT" w:eastAsia="Tw Cen MT" w:cs="Tw Cen MT"/>
          <w:sz w:val="18"/>
          <w:szCs w:val="18"/>
          <w:lang w:val="en-US" w:eastAsia="en-US" w:bidi="ar-SA"/>
        </w:rPr>
        <w:t>Dr. Cui</w:t>
      </w:r>
      <w:r>
        <w:rPr>
          <w:rFonts w:hint="eastAsia" w:ascii="Tw Cen MT" w:hAnsi="Tw Cen MT" w:eastAsia="Tw Cen MT" w:cs="Tw Cen MT"/>
          <w:sz w:val="18"/>
          <w:szCs w:val="18"/>
          <w:lang w:val="en-US" w:eastAsia="en-US" w:bidi="ar-SA"/>
        </w:rPr>
        <w:t xml:space="preserve"> Xing</w:t>
      </w:r>
      <w:r>
        <w:rPr>
          <w:rFonts w:hint="eastAsia" w:ascii="Tw Cen MT" w:hAnsi="Tw Cen MT" w:eastAsia="Tw Cen MT" w:cs="Tw Cen MT"/>
          <w:sz w:val="18"/>
          <w:szCs w:val="18"/>
          <w:lang w:val="en-US" w:eastAsia="zh-CN" w:bidi="ar-SA"/>
        </w:rPr>
        <w:t xml:space="preserve">. </w:t>
      </w:r>
    </w:p>
    <w:p>
      <w:pPr>
        <w:keepNext w:val="0"/>
        <w:keepLines w:val="0"/>
        <w:pageBreakBefore w:val="0"/>
        <w:widowControl w:val="0"/>
        <w:kinsoku/>
        <w:wordWrap/>
        <w:overflowPunct/>
        <w:topLinePunct w:val="0"/>
        <w:autoSpaceDE/>
        <w:autoSpaceDN/>
        <w:bidi w:val="0"/>
        <w:adjustRightInd/>
        <w:snapToGrid/>
        <w:ind w:right="0"/>
        <w:textAlignment w:val="auto"/>
        <w:rPr>
          <w:rFonts w:ascii="Arial"/>
          <w:sz w:val="19"/>
        </w:rPr>
      </w:pPr>
      <w:r>
        <w:rPr>
          <w:rFonts w:hint="eastAsia" w:ascii="Tw Cen MT" w:hAnsi="Tw Cen MT" w:eastAsia="Tw Cen MT" w:cs="Tw Cen MT"/>
          <w:sz w:val="18"/>
          <w:szCs w:val="18"/>
          <w:lang w:val="en-US" w:eastAsia="en-US" w:bidi="ar-SA"/>
        </w:rPr>
        <w:t xml:space="preserve">Email: </w:t>
      </w:r>
      <w:r>
        <w:rPr>
          <w:rFonts w:hint="eastAsia" w:ascii="Tw Cen MT" w:hAnsi="Tw Cen MT" w:eastAsia="Tw Cen MT" w:cs="Tw Cen MT"/>
          <w:sz w:val="18"/>
          <w:szCs w:val="18"/>
          <w:lang w:val="en-US" w:eastAsia="zh-CN" w:bidi="ar-SA"/>
        </w:rPr>
        <w:t>jiaqi.99@foxmail.com</w:t>
      </w:r>
      <w: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spacing w:before="7"/>
        <w:rPr>
          <w:rFonts w:ascii="Arial"/>
          <w:sz w:val="29"/>
        </w:rPr>
      </w:pPr>
    </w:p>
    <w:p>
      <w:pPr>
        <w:spacing w:before="39"/>
        <w:rPr>
          <w:rFonts w:ascii="Minion Pro"/>
          <w:b/>
          <w:sz w:val="20"/>
        </w:rPr>
      </w:pPr>
      <w:r>
        <w:rPr>
          <w:rFonts w:ascii="Minion Pro"/>
          <w:b/>
          <w:sz w:val="20"/>
        </w:rPr>
        <w:t>Notes/Comments:</w:t>
      </w:r>
    </w:p>
    <w:p>
      <w:pPr>
        <w:spacing w:before="39"/>
        <w:rPr>
          <w:rFonts w:ascii="Minion Pro"/>
          <w:b/>
          <w:sz w:val="20"/>
        </w:rPr>
      </w:pPr>
    </w:p>
    <w:p>
      <w:pPr>
        <w:autoSpaceDE w:val="0"/>
        <w:autoSpaceDN w:val="0"/>
        <w:adjustRightInd w:val="0"/>
        <w:rPr>
          <w:rFonts w:hint="default" w:eastAsia="宋体"/>
          <w:b/>
          <w:sz w:val="20"/>
          <w:szCs w:val="20"/>
          <w:lang w:val="en-US" w:eastAsia="zh-CN"/>
        </w:rPr>
      </w:pPr>
      <w:r>
        <w:rPr>
          <w:b/>
          <w:sz w:val="20"/>
          <w:szCs w:val="20"/>
          <w:lang w:val="en-NZ"/>
        </w:rPr>
        <w:t xml:space="preserve">Presenting author details </w:t>
      </w:r>
      <w:r>
        <w:rPr>
          <w:b/>
          <w:sz w:val="20"/>
          <w:szCs w:val="20"/>
          <w:lang w:val="en-NZ"/>
        </w:rPr>
        <w:br w:type="textWrapping"/>
      </w:r>
      <w:r>
        <w:rPr>
          <w:sz w:val="20"/>
          <w:szCs w:val="20"/>
          <w:lang w:val="en-NZ"/>
        </w:rPr>
        <w:t xml:space="preserve">Full name: </w:t>
      </w:r>
      <w:r>
        <w:rPr>
          <w:rFonts w:hint="eastAsia" w:eastAsia="宋体"/>
          <w:sz w:val="20"/>
          <w:szCs w:val="20"/>
          <w:lang w:val="en-US" w:eastAsia="zh-CN"/>
        </w:rPr>
        <w:t>Jiaqi Fu</w:t>
      </w:r>
      <w:r>
        <w:rPr>
          <w:sz w:val="20"/>
          <w:szCs w:val="20"/>
          <w:lang w:val="en-NZ"/>
        </w:rPr>
        <w:br w:type="textWrapping"/>
      </w:r>
      <w:r>
        <w:rPr>
          <w:sz w:val="20"/>
          <w:szCs w:val="20"/>
          <w:lang w:val="en-NZ"/>
        </w:rPr>
        <w:t>Contact number:</w:t>
      </w:r>
      <w:r>
        <w:rPr>
          <w:rFonts w:hint="eastAsia" w:eastAsia="宋体"/>
          <w:sz w:val="20"/>
          <w:szCs w:val="20"/>
          <w:lang w:val="en-US" w:eastAsia="zh-CN"/>
        </w:rPr>
        <w:t xml:space="preserve"> +86 17860506891</w:t>
      </w:r>
      <w:r>
        <w:rPr>
          <w:sz w:val="20"/>
          <w:szCs w:val="20"/>
          <w:lang w:val="en-NZ"/>
        </w:rPr>
        <w:br w:type="textWrapping"/>
      </w:r>
      <w:r>
        <w:rPr>
          <w:sz w:val="20"/>
          <w:szCs w:val="20"/>
          <w:lang w:val="en-NZ"/>
        </w:rPr>
        <w:t>Twitter account:</w:t>
      </w:r>
      <w:r>
        <w:rPr>
          <w:rFonts w:hint="eastAsia" w:eastAsia="宋体"/>
          <w:sz w:val="20"/>
          <w:szCs w:val="20"/>
          <w:lang w:val="en-US" w:eastAsia="zh-CN"/>
        </w:rPr>
        <w:t xml:space="preserve"> N/A</w:t>
      </w:r>
      <w:r>
        <w:rPr>
          <w:sz w:val="20"/>
          <w:szCs w:val="20"/>
          <w:lang w:val="en-NZ"/>
        </w:rPr>
        <w:br w:type="textWrapping"/>
      </w:r>
      <w:r>
        <w:rPr>
          <w:sz w:val="20"/>
          <w:szCs w:val="20"/>
          <w:lang w:val="en-NZ"/>
        </w:rPr>
        <w:t>Linked In account:</w:t>
      </w:r>
      <w:r>
        <w:rPr>
          <w:rFonts w:hint="eastAsia" w:eastAsia="宋体"/>
          <w:sz w:val="20"/>
          <w:szCs w:val="20"/>
          <w:lang w:val="en-US" w:eastAsia="zh-CN"/>
        </w:rPr>
        <w:t xml:space="preserve"> N/A</w:t>
      </w:r>
    </w:p>
    <w:p>
      <w:pPr>
        <w:autoSpaceDE w:val="0"/>
        <w:autoSpaceDN w:val="0"/>
        <w:adjustRightInd w:val="0"/>
        <w:rPr>
          <w:sz w:val="20"/>
          <w:szCs w:val="20"/>
          <w:lang w:val="en-NZ"/>
        </w:rPr>
      </w:pPr>
      <w:r>
        <w:rPr>
          <w:sz w:val="20"/>
          <w:szCs w:val="20"/>
          <w:lang w:val="en-NZ"/>
        </w:rPr>
        <w:t xml:space="preserve">Session name/ number: </w:t>
      </w:r>
      <w:r>
        <w:rPr>
          <w:sz w:val="20"/>
          <w:szCs w:val="20"/>
          <w:lang w:val="en-NZ"/>
        </w:rPr>
        <w:br w:type="textWrapping"/>
      </w:r>
      <w:r>
        <w:rPr>
          <w:sz w:val="20"/>
          <w:szCs w:val="20"/>
          <w:lang w:val="en-NZ"/>
        </w:rPr>
        <w:t>Category: Poster presentation</w:t>
      </w:r>
      <w:r>
        <w:rPr>
          <w:sz w:val="20"/>
          <w:szCs w:val="20"/>
          <w:lang w:val="en-NZ"/>
        </w:rPr>
        <w:br w:type="textWrapping"/>
      </w:r>
    </w:p>
    <w:p>
      <w:pPr>
        <w:spacing w:before="39"/>
        <w:rPr>
          <w:rFonts w:ascii="Minion Pro"/>
          <w:b/>
          <w:sz w:val="20"/>
        </w:rPr>
        <w:sectPr>
          <w:type w:val="continuous"/>
          <w:pgSz w:w="11910" w:h="16840"/>
          <w:pgMar w:top="995" w:right="600" w:bottom="840" w:left="620" w:header="720" w:footer="720" w:gutter="0"/>
          <w:cols w:space="720" w:num="1"/>
        </w:sectPr>
      </w:pPr>
    </w:p>
    <w:p>
      <w:pPr>
        <w:jc w:val="both"/>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NGZhNDEzMDhkZWQyYjQ0MzNhMTcxMDA3NmY4MzEifQ=="/>
  </w:docVars>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E7C463D"/>
    <w:rsid w:val="1C3E30E2"/>
    <w:rsid w:val="34272E4C"/>
    <w:rsid w:val="478620F8"/>
    <w:rsid w:val="74120174"/>
    <w:rsid w:val="7CA603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Body Text"/>
    <w:basedOn w:val="1"/>
    <w:link w:val="19"/>
    <w:qFormat/>
    <w:uiPriority w:val="1"/>
    <w:rPr>
      <w:sz w:val="18"/>
      <w:szCs w:val="18"/>
    </w:rPr>
  </w:style>
  <w:style w:type="paragraph" w:styleId="6">
    <w:name w:val="Balloon Text"/>
    <w:basedOn w:val="1"/>
    <w:link w:val="18"/>
    <w:semiHidden/>
    <w:unhideWhenUsed/>
    <w:uiPriority w:val="99"/>
    <w:rPr>
      <w:rFonts w:ascii="Tahoma" w:hAnsi="Tahoma" w:cs="Tahoma"/>
      <w:sz w:val="16"/>
      <w:szCs w:val="16"/>
    </w:rPr>
  </w:style>
  <w:style w:type="paragraph" w:styleId="7">
    <w:name w:val="footer"/>
    <w:basedOn w:val="1"/>
    <w:link w:val="17"/>
    <w:unhideWhenUsed/>
    <w:uiPriority w:val="99"/>
    <w:pPr>
      <w:tabs>
        <w:tab w:val="center" w:pos="4513"/>
        <w:tab w:val="right" w:pos="9026"/>
      </w:tabs>
    </w:pPr>
  </w:style>
  <w:style w:type="paragraph" w:styleId="8">
    <w:name w:val="header"/>
    <w:basedOn w:val="1"/>
    <w:link w:val="16"/>
    <w:unhideWhenUsed/>
    <w:uiPriority w:val="99"/>
    <w:pPr>
      <w:tabs>
        <w:tab w:val="center" w:pos="4513"/>
        <w:tab w:val="right" w:pos="9026"/>
      </w:tabs>
    </w:pPr>
  </w:style>
  <w:style w:type="paragraph" w:styleId="9">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Hyperlink"/>
    <w:basedOn w:val="12"/>
    <w:unhideWhenUsed/>
    <w:uiPriority w:val="99"/>
    <w:rPr>
      <w:color w:val="0000FF" w:themeColor="hyperlink"/>
      <w:u w:val="single"/>
      <w14:textFill>
        <w14:solidFill>
          <w14:schemeClr w14:val="hlink"/>
        </w14:solidFill>
      </w14:textFill>
    </w:rPr>
  </w:style>
  <w:style w:type="paragraph" w:styleId="14">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5">
    <w:name w:val="Table Paragraph"/>
    <w:basedOn w:val="1"/>
    <w:qFormat/>
    <w:uiPriority w:val="1"/>
  </w:style>
  <w:style w:type="character" w:customStyle="1" w:styleId="16">
    <w:name w:val="Header Char"/>
    <w:basedOn w:val="12"/>
    <w:link w:val="8"/>
    <w:uiPriority w:val="99"/>
    <w:rPr>
      <w:rFonts w:ascii="Tw Cen MT" w:hAnsi="Tw Cen MT" w:eastAsia="Tw Cen MT" w:cs="Tw Cen MT"/>
    </w:rPr>
  </w:style>
  <w:style w:type="character" w:customStyle="1" w:styleId="17">
    <w:name w:val="Footer Char"/>
    <w:basedOn w:val="12"/>
    <w:link w:val="7"/>
    <w:uiPriority w:val="99"/>
    <w:rPr>
      <w:rFonts w:ascii="Tw Cen MT" w:hAnsi="Tw Cen MT" w:eastAsia="Tw Cen MT" w:cs="Tw Cen MT"/>
    </w:rPr>
  </w:style>
  <w:style w:type="character" w:customStyle="1" w:styleId="18">
    <w:name w:val="Balloon Text Char"/>
    <w:basedOn w:val="12"/>
    <w:link w:val="6"/>
    <w:semiHidden/>
    <w:qFormat/>
    <w:uiPriority w:val="99"/>
    <w:rPr>
      <w:rFonts w:ascii="Tahoma" w:hAnsi="Tahoma" w:eastAsia="Tw Cen MT" w:cs="Tahoma"/>
      <w:sz w:val="16"/>
      <w:szCs w:val="16"/>
    </w:rPr>
  </w:style>
  <w:style w:type="character" w:customStyle="1" w:styleId="19">
    <w:name w:val="Body Text Char"/>
    <w:basedOn w:val="12"/>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446</Words>
  <Characters>2683</Characters>
  <Lines>27</Lines>
  <Paragraphs>7</Paragraphs>
  <TotalTime>2</TotalTime>
  <ScaleCrop>false</ScaleCrop>
  <LinksUpToDate>false</LinksUpToDate>
  <CharactersWithSpaces>3127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cp:lastModifiedBy>Dmcg</cp:lastModifiedBy>
  <dcterms:modified xsi:type="dcterms:W3CDTF">2023-02-28T13:14:25Z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2052-11.1.0.13703</vt:lpwstr>
  </property>
  <property fmtid="{D5CDD505-2E9C-101B-9397-08002B2CF9AE}" pid="6" name="ICV">
    <vt:lpwstr>EEE69674C27340DC98AB9E6B17C63D63</vt:lpwstr>
  </property>
</Properties>
</file>