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F318" w14:textId="21A54FFC" w:rsidR="00AE3E37" w:rsidRDefault="00496BC5" w:rsidP="00494130">
      <w:pPr>
        <w:pStyle w:val="1"/>
        <w:spacing w:before="170"/>
        <w:ind w:left="0"/>
      </w:pPr>
      <w:r w:rsidRPr="00496BC5">
        <w:rPr>
          <w:color w:val="337AB7"/>
        </w:rPr>
        <w:t xml:space="preserve">Novelties of Pharmacovigilance legislation in Eurasian Economic Union </w:t>
      </w:r>
    </w:p>
    <w:p w14:paraId="409F9704" w14:textId="31DF8A56" w:rsidR="005973B9" w:rsidRDefault="00496BC5" w:rsidP="005973B9">
      <w:pPr>
        <w:pStyle w:val="a3"/>
        <w:spacing w:before="73" w:line="198" w:lineRule="exact"/>
        <w:ind w:left="100" w:right="5987"/>
        <w:rPr>
          <w:rFonts w:ascii="Arial"/>
        </w:rPr>
      </w:pPr>
      <w:r w:rsidRPr="00496BC5">
        <w:rPr>
          <w:rFonts w:ascii="Arial"/>
        </w:rPr>
        <w:t>Alfiia Imanaeva, PhD, QPPV,</w:t>
      </w:r>
      <w:r>
        <w:rPr>
          <w:rFonts w:ascii="Arial"/>
        </w:rPr>
        <w:t xml:space="preserve"> JSC </w:t>
      </w:r>
      <w:proofErr w:type="spellStart"/>
      <w:r>
        <w:rPr>
          <w:rFonts w:ascii="Arial"/>
        </w:rPr>
        <w:t>Tatchempharmpreparaty</w:t>
      </w:r>
      <w:proofErr w:type="spellEnd"/>
      <w:r>
        <w:rPr>
          <w:rFonts w:ascii="Arial"/>
        </w:rPr>
        <w:t>,</w:t>
      </w:r>
      <w:r w:rsidRPr="00496BC5">
        <w:rPr>
          <w:rFonts w:ascii="Arial"/>
        </w:rPr>
        <w:t xml:space="preserve"> Russian Federation</w:t>
      </w:r>
    </w:p>
    <w:p w14:paraId="67CAC8C0" w14:textId="698460D6" w:rsidR="00496BC5" w:rsidRDefault="00496BC5" w:rsidP="005973B9">
      <w:pPr>
        <w:pStyle w:val="a3"/>
        <w:spacing w:before="73" w:line="198" w:lineRule="exact"/>
        <w:ind w:left="100" w:right="5987"/>
        <w:rPr>
          <w:rFonts w:ascii="Arial"/>
        </w:rPr>
      </w:pPr>
      <w:r w:rsidRPr="00496BC5">
        <w:rPr>
          <w:rFonts w:ascii="Arial"/>
        </w:rPr>
        <w:t>Alfiia Imanaeva, PhD, QPPV,</w:t>
      </w:r>
      <w:r>
        <w:rPr>
          <w:rFonts w:ascii="Arial"/>
        </w:rPr>
        <w:t xml:space="preserve"> JSC </w:t>
      </w:r>
      <w:proofErr w:type="spellStart"/>
      <w:r>
        <w:rPr>
          <w:rFonts w:ascii="Arial"/>
        </w:rPr>
        <w:t>Tatchempharmpreparaty</w:t>
      </w:r>
      <w:proofErr w:type="spellEnd"/>
      <w:r>
        <w:rPr>
          <w:rFonts w:ascii="Arial"/>
        </w:rPr>
        <w:t>,</w:t>
      </w:r>
      <w:r w:rsidRPr="00496BC5">
        <w:rPr>
          <w:rFonts w:ascii="Arial"/>
        </w:rPr>
        <w:t xml:space="preserve"> Russian Federation</w:t>
      </w:r>
    </w:p>
    <w:p w14:paraId="4571503E" w14:textId="77777777" w:rsidR="00AE3E37" w:rsidRDefault="00AE3E37">
      <w:pPr>
        <w:pStyle w:val="a3"/>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14494FF9" w:rsidR="00AE3E37" w:rsidRDefault="00F407AB">
      <w:pPr>
        <w:pStyle w:val="3"/>
        <w:spacing w:before="147"/>
        <w:jc w:val="both"/>
      </w:pPr>
      <w:r>
        <w:rPr>
          <w:noProof/>
          <w:lang w:val="en-IN" w:eastAsia="en-IN"/>
        </w:rPr>
        <w:drawing>
          <wp:anchor distT="0" distB="0" distL="0" distR="0" simplePos="0" relativeHeight="251657728" behindDoc="0" locked="0" layoutInCell="1" allowOverlap="1" wp14:anchorId="74985EC6" wp14:editId="5B8DC851">
            <wp:simplePos x="0" y="0"/>
            <wp:positionH relativeFrom="page">
              <wp:posOffset>3871595</wp:posOffset>
            </wp:positionH>
            <wp:positionV relativeFrom="paragraph">
              <wp:posOffset>257175</wp:posOffset>
            </wp:positionV>
            <wp:extent cx="3235325" cy="1295400"/>
            <wp:effectExtent l="0" t="0" r="317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a:extLst>
                        <a:ext uri="{28A0092B-C50C-407E-A947-70E740481C1C}">
                          <a14:useLocalDpi xmlns:a14="http://schemas.microsoft.com/office/drawing/2010/main" val="0"/>
                        </a:ext>
                      </a:extLst>
                    </a:blip>
                    <a:stretch>
                      <a:fillRect/>
                    </a:stretch>
                  </pic:blipFill>
                  <pic:spPr>
                    <a:xfrm>
                      <a:off x="0" y="0"/>
                      <a:ext cx="3235325" cy="1295400"/>
                    </a:xfrm>
                    <a:prstGeom prst="rect">
                      <a:avLst/>
                    </a:prstGeom>
                  </pic:spPr>
                </pic:pic>
              </a:graphicData>
            </a:graphic>
            <wp14:sizeRelV relativeFrom="margin">
              <wp14:pctHeight>0</wp14:pctHeight>
            </wp14:sizeRelV>
          </wp:anchor>
        </w:drawing>
      </w:r>
      <w:r w:rsidR="00A9710C">
        <w:rPr>
          <w:color w:val="BF5A14"/>
        </w:rPr>
        <w:t>Abstract</w:t>
      </w:r>
    </w:p>
    <w:p w14:paraId="58C408F9" w14:textId="61999191" w:rsidR="00496BC5" w:rsidRPr="00496BC5" w:rsidRDefault="00496BC5" w:rsidP="00496BC5">
      <w:pPr>
        <w:pStyle w:val="3"/>
        <w:spacing w:before="74"/>
        <w:jc w:val="both"/>
        <w:rPr>
          <w:rFonts w:ascii="Tw Cen MT" w:eastAsia="Tw Cen MT" w:hAnsi="Tw Cen MT" w:cs="Tw Cen MT"/>
          <w:b w:val="0"/>
          <w:bCs w:val="0"/>
          <w:sz w:val="18"/>
          <w:szCs w:val="18"/>
        </w:rPr>
      </w:pPr>
      <w:r w:rsidRPr="00496BC5">
        <w:rPr>
          <w:rFonts w:ascii="Tw Cen MT" w:eastAsia="Tw Cen MT" w:hAnsi="Tw Cen MT" w:cs="Tw Cen MT"/>
          <w:b w:val="0"/>
          <w:bCs w:val="0"/>
          <w:sz w:val="18"/>
          <w:szCs w:val="18"/>
        </w:rPr>
        <w:t xml:space="preserve">Eurasian Economic Union (EAEU) was established in 2014 and includes Armenia, Belarus, Kazakhstan, </w:t>
      </w:r>
      <w:proofErr w:type="gramStart"/>
      <w:r w:rsidRPr="00496BC5">
        <w:rPr>
          <w:rFonts w:ascii="Tw Cen MT" w:eastAsia="Tw Cen MT" w:hAnsi="Tw Cen MT" w:cs="Tw Cen MT"/>
          <w:b w:val="0"/>
          <w:bCs w:val="0"/>
          <w:sz w:val="18"/>
          <w:szCs w:val="18"/>
        </w:rPr>
        <w:t>Kyrgyzstan</w:t>
      </w:r>
      <w:proofErr w:type="gramEnd"/>
      <w:r w:rsidRPr="00496BC5">
        <w:rPr>
          <w:rFonts w:ascii="Tw Cen MT" w:eastAsia="Tw Cen MT" w:hAnsi="Tw Cen MT" w:cs="Tw Cen MT"/>
          <w:b w:val="0"/>
          <w:bCs w:val="0"/>
          <w:sz w:val="18"/>
          <w:szCs w:val="18"/>
        </w:rPr>
        <w:t xml:space="preserve"> and Russia. These countries are on the way to share legislation on preclinical and clinical trials, marketing authorization, manufacturing, distribution, pharmacovigilance, etc. The supranational legislation takes precedence over the local one, and currently much effort is being made to harmonize them. First edition of EAEU Good practices was issued in 2016. Good pharmacovigilance practice was then updated in 2022 (EAE </w:t>
      </w:r>
      <w:r w:rsidR="002637FB">
        <w:rPr>
          <w:rFonts w:ascii="Tw Cen MT" w:eastAsia="Tw Cen MT" w:hAnsi="Tw Cen MT" w:cs="Tw Cen MT"/>
          <w:b w:val="0"/>
          <w:bCs w:val="0"/>
          <w:sz w:val="18"/>
          <w:szCs w:val="18"/>
        </w:rPr>
        <w:t xml:space="preserve">Commission </w:t>
      </w:r>
      <w:r w:rsidR="00203472">
        <w:rPr>
          <w:rFonts w:ascii="Tw Cen MT" w:eastAsia="Tw Cen MT" w:hAnsi="Tw Cen MT" w:cs="Tw Cen MT"/>
          <w:b w:val="0"/>
          <w:bCs w:val="0"/>
          <w:sz w:val="18"/>
          <w:szCs w:val="18"/>
        </w:rPr>
        <w:t xml:space="preserve">Council </w:t>
      </w:r>
      <w:r w:rsidRPr="00496BC5">
        <w:rPr>
          <w:rFonts w:ascii="Tw Cen MT" w:eastAsia="Tw Cen MT" w:hAnsi="Tw Cen MT" w:cs="Tw Cen MT"/>
          <w:b w:val="0"/>
          <w:bCs w:val="0"/>
          <w:sz w:val="18"/>
          <w:szCs w:val="18"/>
        </w:rPr>
        <w:t xml:space="preserve">decisions 87 and 81, respectively). The modules of EAEU GVP correspond to EU GVP modules and share the major idea of contributing to the protection of patients’ and public health. </w:t>
      </w:r>
    </w:p>
    <w:p w14:paraId="73990B2D" w14:textId="4D4F6831" w:rsidR="00496BC5" w:rsidRPr="00496BC5" w:rsidRDefault="00496BC5" w:rsidP="00496BC5">
      <w:pPr>
        <w:pStyle w:val="3"/>
        <w:spacing w:before="74"/>
        <w:jc w:val="both"/>
        <w:rPr>
          <w:rFonts w:ascii="Tw Cen MT" w:eastAsia="Tw Cen MT" w:hAnsi="Tw Cen MT" w:cs="Tw Cen MT"/>
          <w:b w:val="0"/>
          <w:bCs w:val="0"/>
          <w:sz w:val="18"/>
          <w:szCs w:val="18"/>
        </w:rPr>
      </w:pPr>
      <w:r w:rsidRPr="00496BC5">
        <w:rPr>
          <w:rFonts w:ascii="Tw Cen MT" w:eastAsia="Tw Cen MT" w:hAnsi="Tw Cen MT" w:cs="Tw Cen MT"/>
          <w:b w:val="0"/>
          <w:bCs w:val="0"/>
          <w:sz w:val="18"/>
          <w:szCs w:val="18"/>
        </w:rPr>
        <w:t xml:space="preserve">The first revision guided the formation of pharmacovigilance systems of Marketing authorization holders, its assembly from separate parts, like PSURs, SOPs, educational activities, etc. </w:t>
      </w:r>
      <w:r w:rsidR="005A2A9E">
        <w:rPr>
          <w:rFonts w:ascii="Tw Cen MT" w:eastAsia="Tw Cen MT" w:hAnsi="Tw Cen MT" w:cs="Tw Cen MT"/>
          <w:b w:val="0"/>
          <w:bCs w:val="0"/>
          <w:sz w:val="18"/>
          <w:szCs w:val="18"/>
        </w:rPr>
        <w:t>J</w:t>
      </w:r>
      <w:r w:rsidRPr="00496BC5">
        <w:rPr>
          <w:rFonts w:ascii="Tw Cen MT" w:eastAsia="Tw Cen MT" w:hAnsi="Tw Cen MT" w:cs="Tw Cen MT"/>
          <w:b w:val="0"/>
          <w:bCs w:val="0"/>
          <w:sz w:val="18"/>
          <w:szCs w:val="18"/>
        </w:rPr>
        <w:t xml:space="preserve">uxtaposition of the two revisions showed an increase of the document’s size by 1,5 times. Further calculations showed that this increase was due to 2 modules: Adverse reactions and Signal management. It is </w:t>
      </w:r>
      <w:r w:rsidR="00546125">
        <w:rPr>
          <w:rFonts w:ascii="Tw Cen MT" w:eastAsia="Tw Cen MT" w:hAnsi="Tw Cen MT" w:cs="Tw Cen MT"/>
          <w:b w:val="0"/>
          <w:bCs w:val="0"/>
          <w:sz w:val="18"/>
          <w:szCs w:val="18"/>
        </w:rPr>
        <w:t>rational</w:t>
      </w:r>
      <w:r w:rsidRPr="00496BC5">
        <w:rPr>
          <w:rFonts w:ascii="Tw Cen MT" w:eastAsia="Tw Cen MT" w:hAnsi="Tw Cen MT" w:cs="Tw Cen MT"/>
          <w:b w:val="0"/>
          <w:bCs w:val="0"/>
          <w:sz w:val="18"/>
          <w:szCs w:val="18"/>
        </w:rPr>
        <w:t xml:space="preserve">, that once the system is built, we can delve into the cornerstone of pharmacovigilance – safety information management. This line was supported by recent release of the Decision on formation of the EAEU adverse events database, that will unite local databases of 5 states. Regarding RMPs and PSURs, their content was somewhat detailed and clarified. The submission of PSURs tends to be less frequent, which is closer to EMA legislation, whereas submission of RMPs </w:t>
      </w:r>
      <w:r w:rsidR="0059415C">
        <w:rPr>
          <w:rFonts w:ascii="Tw Cen MT" w:eastAsia="Tw Cen MT" w:hAnsi="Tw Cen MT" w:cs="Tw Cen MT"/>
          <w:b w:val="0"/>
          <w:bCs w:val="0"/>
          <w:sz w:val="18"/>
          <w:szCs w:val="18"/>
        </w:rPr>
        <w:t>was emphasized</w:t>
      </w:r>
      <w:r w:rsidRPr="00496BC5">
        <w:rPr>
          <w:rFonts w:ascii="Tw Cen MT" w:eastAsia="Tw Cen MT" w:hAnsi="Tw Cen MT" w:cs="Tw Cen MT"/>
          <w:b w:val="0"/>
          <w:bCs w:val="0"/>
          <w:sz w:val="18"/>
          <w:szCs w:val="18"/>
        </w:rPr>
        <w:t xml:space="preserve"> at the moment – in order to form a EAEU database of publicly available summaries.</w:t>
      </w:r>
      <w:r w:rsidR="002637FB">
        <w:rPr>
          <w:rFonts w:ascii="Tw Cen MT" w:eastAsia="Tw Cen MT" w:hAnsi="Tw Cen MT" w:cs="Tw Cen MT"/>
          <w:b w:val="0"/>
          <w:bCs w:val="0"/>
          <w:sz w:val="18"/>
          <w:szCs w:val="18"/>
        </w:rPr>
        <w:t xml:space="preserve"> </w:t>
      </w:r>
      <w:r w:rsidR="0059415C">
        <w:rPr>
          <w:rFonts w:ascii="Tw Cen MT" w:eastAsia="Tw Cen MT" w:hAnsi="Tw Cen MT" w:cs="Tw Cen MT"/>
          <w:b w:val="0"/>
          <w:bCs w:val="0"/>
          <w:sz w:val="18"/>
          <w:szCs w:val="18"/>
        </w:rPr>
        <w:t>I</w:t>
      </w:r>
      <w:r w:rsidR="002637FB" w:rsidRPr="002637FB">
        <w:rPr>
          <w:rFonts w:ascii="Tw Cen MT" w:eastAsia="Tw Cen MT" w:hAnsi="Tw Cen MT" w:cs="Tw Cen MT"/>
          <w:b w:val="0"/>
          <w:bCs w:val="0"/>
          <w:sz w:val="18"/>
          <w:szCs w:val="18"/>
        </w:rPr>
        <w:t>nteraction</w:t>
      </w:r>
      <w:r w:rsidR="0059415C">
        <w:rPr>
          <w:rFonts w:ascii="Tw Cen MT" w:eastAsia="Tw Cen MT" w:hAnsi="Tw Cen MT" w:cs="Tw Cen MT"/>
          <w:b w:val="0"/>
          <w:bCs w:val="0"/>
          <w:sz w:val="18"/>
          <w:szCs w:val="18"/>
        </w:rPr>
        <w:t xml:space="preserve"> option</w:t>
      </w:r>
      <w:r w:rsidR="002637FB">
        <w:rPr>
          <w:rFonts w:ascii="Tw Cen MT" w:eastAsia="Tw Cen MT" w:hAnsi="Tw Cen MT" w:cs="Tw Cen MT"/>
          <w:b w:val="0"/>
          <w:bCs w:val="0"/>
          <w:sz w:val="18"/>
          <w:szCs w:val="18"/>
        </w:rPr>
        <w:t>s</w:t>
      </w:r>
      <w:r w:rsidR="002637FB" w:rsidRPr="002637FB">
        <w:rPr>
          <w:rFonts w:ascii="Tw Cen MT" w:eastAsia="Tw Cen MT" w:hAnsi="Tw Cen MT" w:cs="Tw Cen MT"/>
          <w:b w:val="0"/>
          <w:bCs w:val="0"/>
          <w:sz w:val="18"/>
          <w:szCs w:val="18"/>
        </w:rPr>
        <w:t xml:space="preserve"> between the manufacturer and authorized bodies have been expanded.</w:t>
      </w:r>
    </w:p>
    <w:p w14:paraId="0B8B4687" w14:textId="6EA7D860" w:rsidR="00AE3E37" w:rsidRDefault="0049679C" w:rsidP="00496BC5">
      <w:pPr>
        <w:pStyle w:val="3"/>
        <w:spacing w:before="74"/>
        <w:jc w:val="both"/>
      </w:pPr>
      <w:r>
        <w:rPr>
          <w:rFonts w:ascii="Tw Cen MT" w:eastAsia="Tw Cen MT" w:hAnsi="Tw Cen MT" w:cs="Tw Cen MT"/>
          <w:b w:val="0"/>
          <w:bCs w:val="0"/>
          <w:sz w:val="18"/>
          <w:szCs w:val="18"/>
        </w:rPr>
        <w:t xml:space="preserve">This </w:t>
      </w:r>
      <w:r w:rsidR="00897670">
        <w:rPr>
          <w:rFonts w:ascii="Tw Cen MT" w:eastAsia="Tw Cen MT" w:hAnsi="Tw Cen MT" w:cs="Tw Cen MT"/>
          <w:b w:val="0"/>
          <w:bCs w:val="0"/>
          <w:sz w:val="18"/>
          <w:szCs w:val="18"/>
        </w:rPr>
        <w:t>brief</w:t>
      </w:r>
      <w:r>
        <w:rPr>
          <w:rFonts w:ascii="Tw Cen MT" w:eastAsia="Tw Cen MT" w:hAnsi="Tw Cen MT" w:cs="Tw Cen MT"/>
          <w:b w:val="0"/>
          <w:bCs w:val="0"/>
          <w:sz w:val="18"/>
          <w:szCs w:val="18"/>
        </w:rPr>
        <w:t xml:space="preserve"> </w:t>
      </w:r>
      <w:r w:rsidR="005C47D4">
        <w:rPr>
          <w:rFonts w:ascii="Tw Cen MT" w:eastAsia="Tw Cen MT" w:hAnsi="Tw Cen MT" w:cs="Tw Cen MT"/>
          <w:b w:val="0"/>
          <w:bCs w:val="0"/>
          <w:sz w:val="18"/>
          <w:szCs w:val="18"/>
        </w:rPr>
        <w:t>observation period proved, that p</w:t>
      </w:r>
      <w:r w:rsidR="00496BC5" w:rsidRPr="00496BC5">
        <w:rPr>
          <w:rFonts w:ascii="Tw Cen MT" w:eastAsia="Tw Cen MT" w:hAnsi="Tw Cen MT" w:cs="Tw Cen MT"/>
          <w:b w:val="0"/>
          <w:bCs w:val="0"/>
          <w:sz w:val="18"/>
          <w:szCs w:val="18"/>
        </w:rPr>
        <w:t xml:space="preserve">harmacovigilance </w:t>
      </w:r>
      <w:r w:rsidR="009544C9">
        <w:rPr>
          <w:rFonts w:ascii="Tw Cen MT" w:eastAsia="Tw Cen MT" w:hAnsi="Tw Cen MT" w:cs="Tw Cen MT"/>
          <w:b w:val="0"/>
          <w:bCs w:val="0"/>
          <w:sz w:val="18"/>
          <w:szCs w:val="18"/>
        </w:rPr>
        <w:t xml:space="preserve">can </w:t>
      </w:r>
      <w:r w:rsidR="000341BF">
        <w:rPr>
          <w:rFonts w:ascii="Tw Cen MT" w:eastAsia="Tw Cen MT" w:hAnsi="Tw Cen MT" w:cs="Tw Cen MT"/>
          <w:b w:val="0"/>
          <w:bCs w:val="0"/>
          <w:sz w:val="18"/>
          <w:szCs w:val="18"/>
        </w:rPr>
        <w:t>receive effectual</w:t>
      </w:r>
      <w:r w:rsidR="009544C9">
        <w:rPr>
          <w:rFonts w:ascii="Tw Cen MT" w:eastAsia="Tw Cen MT" w:hAnsi="Tw Cen MT" w:cs="Tw Cen MT"/>
          <w:b w:val="0"/>
          <w:bCs w:val="0"/>
          <w:sz w:val="18"/>
          <w:szCs w:val="18"/>
        </w:rPr>
        <w:t xml:space="preserve"> develop</w:t>
      </w:r>
      <w:r w:rsidR="000341BF">
        <w:rPr>
          <w:rFonts w:ascii="Tw Cen MT" w:eastAsia="Tw Cen MT" w:hAnsi="Tw Cen MT" w:cs="Tw Cen MT"/>
          <w:b w:val="0"/>
          <w:bCs w:val="0"/>
          <w:sz w:val="18"/>
          <w:szCs w:val="18"/>
        </w:rPr>
        <w:t>ment</w:t>
      </w:r>
      <w:r w:rsidR="009544C9">
        <w:rPr>
          <w:rFonts w:ascii="Tw Cen MT" w:eastAsia="Tw Cen MT" w:hAnsi="Tw Cen MT" w:cs="Tw Cen MT"/>
          <w:b w:val="0"/>
          <w:bCs w:val="0"/>
          <w:sz w:val="18"/>
          <w:szCs w:val="18"/>
        </w:rPr>
        <w:t xml:space="preserve"> in conditions of </w:t>
      </w:r>
      <w:r w:rsidR="00496BC5" w:rsidRPr="00496BC5">
        <w:rPr>
          <w:rFonts w:ascii="Tw Cen MT" w:eastAsia="Tw Cen MT" w:hAnsi="Tw Cen MT" w:cs="Tw Cen MT"/>
          <w:b w:val="0"/>
          <w:bCs w:val="0"/>
          <w:sz w:val="18"/>
          <w:szCs w:val="18"/>
        </w:rPr>
        <w:t>wise legislation, industry alacrity and a generous share of publicity</w:t>
      </w:r>
      <w:r w:rsidR="00EC34DD">
        <w:rPr>
          <w:rFonts w:ascii="Tw Cen MT" w:eastAsia="Tw Cen MT" w:hAnsi="Tw Cen MT" w:cs="Tw Cen MT"/>
          <w:b w:val="0"/>
          <w:bCs w:val="0"/>
          <w:sz w:val="18"/>
          <w:szCs w:val="18"/>
        </w:rPr>
        <w:t xml:space="preserve"> and dialogue</w:t>
      </w:r>
      <w:r w:rsidR="00496BC5" w:rsidRPr="00496BC5">
        <w:rPr>
          <w:rFonts w:ascii="Tw Cen MT" w:eastAsia="Tw Cen MT" w:hAnsi="Tw Cen MT" w:cs="Tw Cen MT"/>
          <w:b w:val="0"/>
          <w:bCs w:val="0"/>
          <w:sz w:val="18"/>
          <w:szCs w:val="18"/>
        </w:rPr>
        <w:t>.</w:t>
      </w:r>
      <w:r w:rsidR="00A9710C">
        <w:rPr>
          <w:b w:val="0"/>
        </w:rPr>
        <w:br w:type="column"/>
      </w:r>
      <w:proofErr w:type="gramStart"/>
      <w:r w:rsidR="00A9710C">
        <w:rPr>
          <w:color w:val="BF5A14"/>
        </w:rPr>
        <w:t>Image</w:t>
      </w:r>
      <w:proofErr w:type="gramEnd"/>
    </w:p>
    <w:p w14:paraId="791D5001" w14:textId="728C87F9" w:rsidR="00AE3E37" w:rsidRDefault="00AE3E37">
      <w:pPr>
        <w:pStyle w:val="a3"/>
        <w:spacing w:before="2"/>
        <w:rPr>
          <w:rFonts w:ascii="Arial"/>
          <w:b/>
          <w:sz w:val="16"/>
        </w:rPr>
      </w:pPr>
    </w:p>
    <w:p w14:paraId="249BB2DD" w14:textId="2ACB7497" w:rsidR="007A3130" w:rsidRDefault="005973B9" w:rsidP="005973B9">
      <w:pPr>
        <w:spacing w:line="204" w:lineRule="exact"/>
        <w:rPr>
          <w:rFonts w:ascii="Arial"/>
          <w:b/>
          <w:color w:val="BF5A14"/>
          <w:sz w:val="20"/>
        </w:rPr>
      </w:pPr>
      <w:r>
        <w:rPr>
          <w:rFonts w:ascii="Arial"/>
          <w:b/>
          <w:color w:val="BF5A14"/>
          <w:sz w:val="20"/>
        </w:rPr>
        <w:br/>
      </w:r>
    </w:p>
    <w:p w14:paraId="74932195" w14:textId="22DCCAC2" w:rsidR="005973B9" w:rsidRDefault="005973B9" w:rsidP="005973B9">
      <w:pPr>
        <w:spacing w:line="204" w:lineRule="exact"/>
        <w:rPr>
          <w:rFonts w:ascii="Arial"/>
          <w:b/>
          <w:sz w:val="20"/>
        </w:rPr>
      </w:pPr>
      <w:r>
        <w:rPr>
          <w:rFonts w:ascii="Arial"/>
          <w:b/>
          <w:color w:val="BF5A14"/>
          <w:sz w:val="20"/>
        </w:rPr>
        <w:t>Recent Publications</w:t>
      </w:r>
    </w:p>
    <w:p w14:paraId="0CB8EAD7" w14:textId="1A5AC53B" w:rsidR="00FA327D" w:rsidRDefault="00FE333F" w:rsidP="00FA327D">
      <w:pPr>
        <w:pStyle w:val="a5"/>
        <w:numPr>
          <w:ilvl w:val="0"/>
          <w:numId w:val="3"/>
        </w:numPr>
        <w:tabs>
          <w:tab w:val="left" w:pos="384"/>
        </w:tabs>
        <w:spacing w:before="103" w:line="216" w:lineRule="exact"/>
        <w:ind w:right="138" w:hanging="283"/>
        <w:rPr>
          <w:sz w:val="18"/>
        </w:rPr>
      </w:pPr>
      <w:bookmarkStart w:id="0" w:name="_Hlk128500535"/>
      <w:r w:rsidRPr="00FE333F">
        <w:rPr>
          <w:sz w:val="18"/>
        </w:rPr>
        <w:t xml:space="preserve">Decision </w:t>
      </w:r>
      <w:bookmarkStart w:id="1" w:name="_Hlk128503623"/>
      <w:r w:rsidRPr="00FE333F">
        <w:rPr>
          <w:sz w:val="18"/>
        </w:rPr>
        <w:t xml:space="preserve">No. 87 of the Council of the Eurasian Economic Commission </w:t>
      </w:r>
      <w:r>
        <w:rPr>
          <w:sz w:val="18"/>
        </w:rPr>
        <w:t>o</w:t>
      </w:r>
      <w:r w:rsidRPr="00FE333F">
        <w:rPr>
          <w:sz w:val="18"/>
        </w:rPr>
        <w:t xml:space="preserve">n approval of Rules of </w:t>
      </w:r>
      <w:r>
        <w:rPr>
          <w:sz w:val="18"/>
        </w:rPr>
        <w:t>GVP of EAEU</w:t>
      </w:r>
      <w:r w:rsidRPr="00FE333F">
        <w:rPr>
          <w:sz w:val="18"/>
        </w:rPr>
        <w:t xml:space="preserve"> </w:t>
      </w:r>
      <w:bookmarkEnd w:id="1"/>
      <w:r w:rsidRPr="00FE333F">
        <w:rPr>
          <w:sz w:val="18"/>
        </w:rPr>
        <w:t>(2016)</w:t>
      </w:r>
      <w:r w:rsidR="00FA327D" w:rsidRPr="00FA327D">
        <w:rPr>
          <w:sz w:val="18"/>
        </w:rPr>
        <w:t xml:space="preserve"> </w:t>
      </w:r>
      <w:hyperlink r:id="rId9" w:history="1">
        <w:r w:rsidR="00FA327D" w:rsidRPr="000520C2">
          <w:rPr>
            <w:rStyle w:val="ac"/>
            <w:sz w:val="18"/>
          </w:rPr>
          <w:t>https://docs.eaeunion.org/docs/en-us/01411948/cncd_21112016_87</w:t>
        </w:r>
      </w:hyperlink>
      <w:r w:rsidR="00FA327D">
        <w:rPr>
          <w:sz w:val="18"/>
        </w:rPr>
        <w:t xml:space="preserve"> </w:t>
      </w:r>
      <w:bookmarkStart w:id="2" w:name="_Hlk128504071"/>
      <w:r w:rsidR="00FA327D">
        <w:rPr>
          <w:sz w:val="18"/>
        </w:rPr>
        <w:t>[in Russian, available in English and EAEU languages]</w:t>
      </w:r>
    </w:p>
    <w:bookmarkEnd w:id="2"/>
    <w:p w14:paraId="0A0F8823" w14:textId="63DE216D" w:rsidR="002637FB" w:rsidRDefault="00FE333F" w:rsidP="002637FB">
      <w:pPr>
        <w:pStyle w:val="a5"/>
        <w:numPr>
          <w:ilvl w:val="0"/>
          <w:numId w:val="3"/>
        </w:numPr>
        <w:tabs>
          <w:tab w:val="left" w:pos="384"/>
        </w:tabs>
        <w:spacing w:before="103" w:line="216" w:lineRule="exact"/>
        <w:ind w:right="138" w:hanging="283"/>
        <w:rPr>
          <w:sz w:val="18"/>
        </w:rPr>
      </w:pPr>
      <w:r>
        <w:rPr>
          <w:sz w:val="18"/>
        </w:rPr>
        <w:t xml:space="preserve">Decision </w:t>
      </w:r>
      <w:r w:rsidR="00FA327D" w:rsidRPr="00FA327D">
        <w:rPr>
          <w:sz w:val="18"/>
        </w:rPr>
        <w:t>No. 8</w:t>
      </w:r>
      <w:r w:rsidR="00FA327D">
        <w:rPr>
          <w:sz w:val="18"/>
        </w:rPr>
        <w:t>1</w:t>
      </w:r>
      <w:r w:rsidR="00FA327D" w:rsidRPr="00FA327D">
        <w:rPr>
          <w:sz w:val="18"/>
        </w:rPr>
        <w:t xml:space="preserve"> of the Council of the Eurasian Economic Commission on </w:t>
      </w:r>
      <w:r w:rsidR="00AD7D80">
        <w:rPr>
          <w:sz w:val="18"/>
        </w:rPr>
        <w:t xml:space="preserve">amending the </w:t>
      </w:r>
      <w:r w:rsidR="00FA327D" w:rsidRPr="00FA327D">
        <w:rPr>
          <w:sz w:val="18"/>
        </w:rPr>
        <w:t xml:space="preserve">Rules of GVP of EAEU </w:t>
      </w:r>
      <w:r w:rsidR="002637FB">
        <w:rPr>
          <w:sz w:val="18"/>
        </w:rPr>
        <w:t xml:space="preserve">(2022) </w:t>
      </w:r>
      <w:hyperlink r:id="rId10" w:history="1">
        <w:r w:rsidRPr="000520C2">
          <w:rPr>
            <w:rStyle w:val="ac"/>
            <w:sz w:val="18"/>
          </w:rPr>
          <w:t>https://docs.eaeunion.org/docs/en-us/01433831/err_09062022_81</w:t>
        </w:r>
      </w:hyperlink>
      <w:r>
        <w:rPr>
          <w:sz w:val="18"/>
        </w:rPr>
        <w:t xml:space="preserve"> </w:t>
      </w:r>
      <w:r w:rsidR="00FA327D">
        <w:rPr>
          <w:sz w:val="18"/>
        </w:rPr>
        <w:t>[in Russian, available in other EAEU languages]</w:t>
      </w:r>
    </w:p>
    <w:p w14:paraId="270A48F8" w14:textId="7181B628" w:rsidR="00AD7D80" w:rsidRDefault="00AD7D80" w:rsidP="00AD7D80">
      <w:pPr>
        <w:pStyle w:val="a5"/>
        <w:numPr>
          <w:ilvl w:val="0"/>
          <w:numId w:val="3"/>
        </w:numPr>
        <w:rPr>
          <w:sz w:val="18"/>
        </w:rPr>
      </w:pPr>
      <w:r w:rsidRPr="00AD7D80">
        <w:rPr>
          <w:sz w:val="18"/>
        </w:rPr>
        <w:t>Decision No. 18 of the Council of the Eurasian Economic Commission on amending the Decision No. 125 of Oct 25</w:t>
      </w:r>
      <w:proofErr w:type="gramStart"/>
      <w:r w:rsidRPr="00AD7D80">
        <w:rPr>
          <w:sz w:val="18"/>
        </w:rPr>
        <w:t xml:space="preserve"> 2016</w:t>
      </w:r>
      <w:proofErr w:type="gramEnd"/>
      <w:r w:rsidRPr="00AD7D80">
        <w:rPr>
          <w:sz w:val="18"/>
        </w:rPr>
        <w:t xml:space="preserve"> (2023)</w:t>
      </w:r>
      <w:r w:rsidRPr="00AD7D80">
        <w:t xml:space="preserve"> </w:t>
      </w:r>
      <w:r w:rsidRPr="00AD7D80">
        <w:rPr>
          <w:sz w:val="18"/>
        </w:rPr>
        <w:t>[in Russian]</w:t>
      </w:r>
    </w:p>
    <w:p w14:paraId="63CDF671" w14:textId="77777777" w:rsidR="00AD7D80" w:rsidRDefault="00AD7D80" w:rsidP="00AD7D80">
      <w:pPr>
        <w:pStyle w:val="a5"/>
        <w:numPr>
          <w:ilvl w:val="0"/>
          <w:numId w:val="3"/>
        </w:numPr>
        <w:rPr>
          <w:sz w:val="18"/>
        </w:rPr>
      </w:pPr>
      <w:proofErr w:type="spellStart"/>
      <w:r w:rsidRPr="00AD7D80">
        <w:rPr>
          <w:sz w:val="18"/>
        </w:rPr>
        <w:t>Gildeeva</w:t>
      </w:r>
      <w:proofErr w:type="spellEnd"/>
      <w:r w:rsidRPr="00AD7D80">
        <w:rPr>
          <w:sz w:val="18"/>
        </w:rPr>
        <w:t xml:space="preserve"> G, </w:t>
      </w:r>
      <w:proofErr w:type="spellStart"/>
      <w:r w:rsidRPr="00AD7D80">
        <w:rPr>
          <w:sz w:val="18"/>
        </w:rPr>
        <w:t>Belostotsky</w:t>
      </w:r>
      <w:proofErr w:type="spellEnd"/>
      <w:r w:rsidRPr="00AD7D80">
        <w:rPr>
          <w:sz w:val="18"/>
        </w:rPr>
        <w:t xml:space="preserve"> A. Pharmacovigilance in Russia: current </w:t>
      </w:r>
      <w:proofErr w:type="gramStart"/>
      <w:r w:rsidRPr="00AD7D80">
        <w:rPr>
          <w:sz w:val="18"/>
        </w:rPr>
        <w:t>state of affairs</w:t>
      </w:r>
      <w:proofErr w:type="gramEnd"/>
      <w:r w:rsidRPr="00AD7D80">
        <w:rPr>
          <w:sz w:val="18"/>
        </w:rPr>
        <w:t xml:space="preserve">, challenges, and prospects. </w:t>
      </w:r>
      <w:proofErr w:type="spellStart"/>
      <w:r w:rsidRPr="00AD7D80">
        <w:rPr>
          <w:sz w:val="18"/>
        </w:rPr>
        <w:t>Curr</w:t>
      </w:r>
      <w:proofErr w:type="spellEnd"/>
      <w:r w:rsidRPr="00AD7D80">
        <w:rPr>
          <w:sz w:val="18"/>
        </w:rPr>
        <w:t xml:space="preserve"> Med Res </w:t>
      </w:r>
      <w:proofErr w:type="spellStart"/>
      <w:r w:rsidRPr="00AD7D80">
        <w:rPr>
          <w:sz w:val="18"/>
        </w:rPr>
        <w:t>Opin</w:t>
      </w:r>
      <w:proofErr w:type="spellEnd"/>
      <w:r w:rsidRPr="00AD7D80">
        <w:rPr>
          <w:sz w:val="18"/>
        </w:rPr>
        <w:t>. 2017 Dec;33(12):2161-2166</w:t>
      </w:r>
      <w:r>
        <w:rPr>
          <w:sz w:val="18"/>
        </w:rPr>
        <w:t>.</w:t>
      </w:r>
    </w:p>
    <w:p w14:paraId="1CBFEF5E" w14:textId="344D984C" w:rsidR="005973B9" w:rsidRPr="00AD7D80" w:rsidRDefault="00F407AB" w:rsidP="00AD7D80">
      <w:pPr>
        <w:pStyle w:val="a5"/>
        <w:numPr>
          <w:ilvl w:val="0"/>
          <w:numId w:val="3"/>
        </w:numPr>
        <w:rPr>
          <w:sz w:val="18"/>
        </w:rPr>
      </w:pPr>
      <w:proofErr w:type="spellStart"/>
      <w:r w:rsidRPr="00F407AB">
        <w:rPr>
          <w:sz w:val="18"/>
        </w:rPr>
        <w:t>Gildeeva</w:t>
      </w:r>
      <w:proofErr w:type="spellEnd"/>
      <w:r w:rsidRPr="00F407AB">
        <w:rPr>
          <w:sz w:val="18"/>
        </w:rPr>
        <w:t xml:space="preserve"> G.N., </w:t>
      </w:r>
      <w:proofErr w:type="spellStart"/>
      <w:r w:rsidRPr="00F407AB">
        <w:rPr>
          <w:sz w:val="18"/>
        </w:rPr>
        <w:t>Belostotsky</w:t>
      </w:r>
      <w:proofErr w:type="spellEnd"/>
      <w:r w:rsidRPr="00F407AB">
        <w:rPr>
          <w:sz w:val="18"/>
        </w:rPr>
        <w:t xml:space="preserve"> A.V. Recent changes in the pharmacovigilance system in the Russian Federation and the EAEU. FARMAKOEKONOMIKA. Modern Pharmacoeconomics and Pharmacoepidemiology. 2019;12(2):86-90.</w:t>
      </w:r>
    </w:p>
    <w:bookmarkEnd w:id="0"/>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a3"/>
        <w:rPr>
          <w:rFonts w:ascii="Calibri"/>
          <w:sz w:val="20"/>
        </w:rPr>
      </w:pPr>
    </w:p>
    <w:p w14:paraId="5662D6E9"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5C5B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535B89DC"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752"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 xml:space="preserve">Paste your Logo </w:t>
                            </w:r>
                            <w:proofErr w:type="gramStart"/>
                            <w:r>
                              <w:rPr>
                                <w:b/>
                                <w:color w:val="0000FF"/>
                                <w:lang w:val="en-IN"/>
                              </w:rPr>
                              <w:t>here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5.35pt;margin-top:4.45pt;width:79.7pt;height:4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 xml:space="preserve">Paste your Logo </w:t>
                      </w:r>
                      <w:proofErr w:type="gramStart"/>
                      <w:r>
                        <w:rPr>
                          <w:b/>
                          <w:color w:val="0000FF"/>
                          <w:lang w:val="en-IN"/>
                        </w:rPr>
                        <w:t>here</w:t>
                      </w:r>
                      <w:proofErr w:type="gramEnd"/>
                    </w:p>
                  </w:txbxContent>
                </v:textbox>
              </v:roundrect>
            </w:pict>
          </mc:Fallback>
        </mc:AlternateContent>
      </w:r>
      <w:r w:rsidR="008756E6">
        <w:rPr>
          <w:noProof/>
        </w:rPr>
        <w:t xml:space="preserve">              </w:t>
      </w:r>
      <w:r w:rsidR="008756E6">
        <w:rPr>
          <w:noProof/>
          <w:lang w:val="en-IN" w:eastAsia="en-IN"/>
        </w:rPr>
        <w:drawing>
          <wp:inline distT="0" distB="0" distL="0" distR="0" wp14:anchorId="63C8E80B" wp14:editId="414B3A21">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076EC921" w14:textId="2A0766E6" w:rsidR="00AE3E37" w:rsidRDefault="00496BC5">
      <w:pPr>
        <w:spacing w:before="41" w:line="154" w:lineRule="exact"/>
        <w:ind w:left="213" w:right="231"/>
        <w:jc w:val="both"/>
        <w:rPr>
          <w:rFonts w:ascii="Arial"/>
          <w:sz w:val="14"/>
        </w:rPr>
      </w:pPr>
      <w:r w:rsidRPr="00496BC5">
        <w:rPr>
          <w:rFonts w:ascii="Arial"/>
          <w:sz w:val="14"/>
        </w:rPr>
        <w:t xml:space="preserve">Alfiia Imanaeva is a MD, private cardiologist. Her PhD work was devoted to a preclinical development of the new method of treatment of rheumatoid arthritis </w:t>
      </w:r>
      <w:r w:rsidRPr="00496BC5">
        <w:rPr>
          <w:rFonts w:ascii="Arial"/>
          <w:sz w:val="14"/>
        </w:rPr>
        <w:t>–</w:t>
      </w:r>
      <w:r w:rsidRPr="00496BC5">
        <w:rPr>
          <w:rFonts w:ascii="Arial"/>
          <w:sz w:val="14"/>
        </w:rPr>
        <w:t xml:space="preserve"> both systemic and topical. Since 2014 she is a QPPV in JSC </w:t>
      </w:r>
      <w:r w:rsidRPr="00496BC5">
        <w:rPr>
          <w:rFonts w:ascii="Arial"/>
          <w:sz w:val="14"/>
        </w:rPr>
        <w:t>“</w:t>
      </w:r>
      <w:proofErr w:type="spellStart"/>
      <w:r w:rsidRPr="00496BC5">
        <w:rPr>
          <w:rFonts w:ascii="Arial"/>
          <w:sz w:val="14"/>
        </w:rPr>
        <w:t>Tatchempharmpreparaty</w:t>
      </w:r>
      <w:proofErr w:type="spellEnd"/>
      <w:r w:rsidRPr="00496BC5">
        <w:rPr>
          <w:rFonts w:ascii="Arial"/>
          <w:sz w:val="14"/>
        </w:rPr>
        <w:t>”</w:t>
      </w:r>
      <w:r w:rsidRPr="00496BC5">
        <w:rPr>
          <w:rFonts w:ascii="Arial"/>
          <w:sz w:val="14"/>
        </w:rPr>
        <w:t xml:space="preserve"> - a Russian manufacturer and marketing authorization holder, based in Kazan city. The company produces over 120 generic medications along with some original formulations and a variety of surgical threads. She witnessed the formation of the pharmacovigilance system in EAEU, passed </w:t>
      </w:r>
      <w:proofErr w:type="gramStart"/>
      <w:r w:rsidRPr="00496BC5">
        <w:rPr>
          <w:rFonts w:ascii="Arial"/>
          <w:sz w:val="14"/>
        </w:rPr>
        <w:t>each and every</w:t>
      </w:r>
      <w:proofErr w:type="gramEnd"/>
      <w:r w:rsidRPr="00496BC5">
        <w:rPr>
          <w:rFonts w:ascii="Arial"/>
          <w:sz w:val="14"/>
        </w:rPr>
        <w:t xml:space="preserve"> stage of the process, assembled a devoted team to ensure effective pharmacovigilance functioning in the company. Alongside in 2020 she founded a successful company that offers a range of writing services in pharmacovigilance, clinical </w:t>
      </w:r>
      <w:proofErr w:type="gramStart"/>
      <w:r w:rsidRPr="00496BC5">
        <w:rPr>
          <w:rFonts w:ascii="Arial"/>
          <w:sz w:val="14"/>
        </w:rPr>
        <w:t>trials</w:t>
      </w:r>
      <w:proofErr w:type="gramEnd"/>
      <w:r w:rsidRPr="00496BC5">
        <w:rPr>
          <w:rFonts w:ascii="Arial"/>
          <w:sz w:val="14"/>
        </w:rPr>
        <w:t xml:space="preserve"> and registration in EAEU.</w:t>
      </w:r>
    </w:p>
    <w:p w14:paraId="4026A957" w14:textId="276D279B" w:rsidR="00AE3E37" w:rsidRDefault="00A9710C">
      <w:pPr>
        <w:spacing w:before="62"/>
        <w:ind w:left="4217" w:right="4235"/>
        <w:jc w:val="center"/>
        <w:rPr>
          <w:rFonts w:ascii="Arial"/>
          <w:sz w:val="14"/>
        </w:rPr>
      </w:pPr>
      <w:r>
        <w:rPr>
          <w:rFonts w:ascii="Arial"/>
          <w:sz w:val="14"/>
        </w:rPr>
        <w:t xml:space="preserve">Email: </w:t>
      </w:r>
      <w:hyperlink r:id="rId12" w:history="1">
        <w:r w:rsidR="00496BC5" w:rsidRPr="000520C2">
          <w:rPr>
            <w:rStyle w:val="ac"/>
            <w:rFonts w:ascii="Arial"/>
            <w:sz w:val="14"/>
          </w:rPr>
          <w:t>a.y.imanaeva@gmail.com</w:t>
        </w:r>
      </w:hyperlink>
    </w:p>
    <w:p w14:paraId="263B4AD8"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251656704"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97C9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BB30AF2" w14:textId="7E01DE46" w:rsidR="00AE3E37" w:rsidRDefault="00AE3E37">
      <w:pPr>
        <w:pStyle w:val="a3"/>
        <w:rPr>
          <w:rFonts w:ascii="Arial"/>
          <w:sz w:val="20"/>
        </w:rPr>
      </w:pPr>
    </w:p>
    <w:p w14:paraId="2EB7D4E2" w14:textId="77777777" w:rsidR="00AE3E37" w:rsidRDefault="00AE3E37">
      <w:pPr>
        <w:pStyle w:val="a3"/>
        <w:rPr>
          <w:rFonts w:ascii="Arial"/>
          <w:sz w:val="20"/>
        </w:rPr>
      </w:pPr>
    </w:p>
    <w:p w14:paraId="5D6EBC50" w14:textId="77777777" w:rsidR="00AE3E37" w:rsidRDefault="00AE3E37">
      <w:pPr>
        <w:pStyle w:val="a3"/>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3FD7E88B" w:rsidR="00F046EA" w:rsidRPr="0013708E" w:rsidRDefault="00F046EA" w:rsidP="00F046EA">
      <w:pPr>
        <w:jc w:val="both"/>
      </w:pPr>
      <w:r w:rsidRPr="0013708E">
        <w:t>Full name:</w:t>
      </w:r>
      <w:r w:rsidR="00496BC5">
        <w:t xml:space="preserve"> </w:t>
      </w:r>
      <w:r w:rsidR="00496BC5" w:rsidRPr="00496BC5">
        <w:t>Alfiia Imanaeva</w:t>
      </w:r>
      <w:r w:rsidRPr="0013708E">
        <w:t xml:space="preserve"> </w:t>
      </w:r>
    </w:p>
    <w:p w14:paraId="643F1194" w14:textId="51E2B5CF" w:rsidR="00F046EA" w:rsidRDefault="00F046EA" w:rsidP="00F046EA">
      <w:pPr>
        <w:jc w:val="both"/>
      </w:pPr>
      <w:r w:rsidRPr="0013708E">
        <w:t>Contact number:</w:t>
      </w:r>
      <w:r w:rsidR="00496BC5">
        <w:t xml:space="preserve"> </w:t>
      </w:r>
      <w:r w:rsidR="00496BC5" w:rsidRPr="00496BC5">
        <w:t>+7 (987) 290-30-72</w:t>
      </w:r>
    </w:p>
    <w:p w14:paraId="629253B3" w14:textId="66ED5462" w:rsidR="00F046EA" w:rsidRPr="0013708E" w:rsidRDefault="00F046EA" w:rsidP="00F046EA">
      <w:pPr>
        <w:jc w:val="both"/>
      </w:pPr>
      <w:r>
        <w:t>Mail id:</w:t>
      </w:r>
      <w:r w:rsidR="00496BC5">
        <w:t xml:space="preserve"> </w:t>
      </w:r>
      <w:r w:rsidR="00496BC5" w:rsidRPr="00496BC5">
        <w:t>a.y.imanaeva@gmail.com</w:t>
      </w:r>
      <w:r w:rsidR="00496BC5">
        <w:t xml:space="preserve"> </w:t>
      </w:r>
      <w:r>
        <w:t xml:space="preserve"> </w:t>
      </w:r>
    </w:p>
    <w:p w14:paraId="3640F233" w14:textId="79145908" w:rsidR="00AE3E37" w:rsidRDefault="00F046EA" w:rsidP="00496BC5">
      <w:pPr>
        <w:jc w:val="both"/>
        <w:rPr>
          <w:rFonts w:ascii="Minion Pro"/>
          <w:sz w:val="26"/>
        </w:rPr>
      </w:pPr>
      <w:r w:rsidRPr="0013708E">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2562B" w14:textId="77777777" w:rsidR="001F4728" w:rsidRDefault="001F4728">
      <w:r>
        <w:separator/>
      </w:r>
    </w:p>
  </w:endnote>
  <w:endnote w:type="continuationSeparator" w:id="0">
    <w:p w14:paraId="15FB31F6" w14:textId="77777777" w:rsidR="001F4728" w:rsidRDefault="001F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C641"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F0797" w14:textId="77777777" w:rsidR="001F4728" w:rsidRDefault="001F4728">
      <w:r>
        <w:separator/>
      </w:r>
    </w:p>
  </w:footnote>
  <w:footnote w:type="continuationSeparator" w:id="0">
    <w:p w14:paraId="3C825FC7" w14:textId="77777777" w:rsidR="001F4728" w:rsidRDefault="001F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46995157">
    <w:abstractNumId w:val="0"/>
  </w:num>
  <w:num w:numId="2" w16cid:durableId="53705960">
    <w:abstractNumId w:val="1"/>
  </w:num>
  <w:num w:numId="3" w16cid:durableId="178634472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41BF"/>
    <w:rsid w:val="00084CFF"/>
    <w:rsid w:val="000E2911"/>
    <w:rsid w:val="001263DF"/>
    <w:rsid w:val="001F4728"/>
    <w:rsid w:val="00203472"/>
    <w:rsid w:val="002316E1"/>
    <w:rsid w:val="002637FB"/>
    <w:rsid w:val="00292ED9"/>
    <w:rsid w:val="0033537F"/>
    <w:rsid w:val="00351D9B"/>
    <w:rsid w:val="00380299"/>
    <w:rsid w:val="003B6E9A"/>
    <w:rsid w:val="00404E5B"/>
    <w:rsid w:val="00414F7B"/>
    <w:rsid w:val="004355DC"/>
    <w:rsid w:val="004749B4"/>
    <w:rsid w:val="00494130"/>
    <w:rsid w:val="0049679C"/>
    <w:rsid w:val="00496BC5"/>
    <w:rsid w:val="004F3523"/>
    <w:rsid w:val="00546125"/>
    <w:rsid w:val="0059415C"/>
    <w:rsid w:val="005973B9"/>
    <w:rsid w:val="005A2A9E"/>
    <w:rsid w:val="005B3A56"/>
    <w:rsid w:val="005C47D4"/>
    <w:rsid w:val="006060CE"/>
    <w:rsid w:val="0061505C"/>
    <w:rsid w:val="0063497F"/>
    <w:rsid w:val="00714354"/>
    <w:rsid w:val="007A3130"/>
    <w:rsid w:val="007E0F23"/>
    <w:rsid w:val="00862150"/>
    <w:rsid w:val="00873DF0"/>
    <w:rsid w:val="008756E6"/>
    <w:rsid w:val="00897670"/>
    <w:rsid w:val="00897EC5"/>
    <w:rsid w:val="008E5477"/>
    <w:rsid w:val="009446DA"/>
    <w:rsid w:val="009544C9"/>
    <w:rsid w:val="009B2D44"/>
    <w:rsid w:val="009E6C56"/>
    <w:rsid w:val="00A07E82"/>
    <w:rsid w:val="00A52075"/>
    <w:rsid w:val="00A9710C"/>
    <w:rsid w:val="00AD7D80"/>
    <w:rsid w:val="00AE3E37"/>
    <w:rsid w:val="00B21A57"/>
    <w:rsid w:val="00C33602"/>
    <w:rsid w:val="00C56C74"/>
    <w:rsid w:val="00CD6F55"/>
    <w:rsid w:val="00D345A5"/>
    <w:rsid w:val="00DE3104"/>
    <w:rsid w:val="00DE6170"/>
    <w:rsid w:val="00E30AAC"/>
    <w:rsid w:val="00E95D97"/>
    <w:rsid w:val="00EC34DD"/>
    <w:rsid w:val="00F046EA"/>
    <w:rsid w:val="00F407AB"/>
    <w:rsid w:val="00F72EEA"/>
    <w:rsid w:val="00F84CAE"/>
    <w:rsid w:val="00FA327D"/>
    <w:rsid w:val="00FA41DE"/>
    <w:rsid w:val="00FE33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FBAE0"/>
  <w15:docId w15:val="{69A0C6B3-30FF-424D-8EF2-656932D1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496BC5"/>
    <w:rPr>
      <w:color w:val="605E5C"/>
      <w:shd w:val="clear" w:color="auto" w:fill="E1DFDD"/>
    </w:rPr>
  </w:style>
  <w:style w:type="character" w:styleId="ae">
    <w:name w:val="FollowedHyperlink"/>
    <w:basedOn w:val="a0"/>
    <w:uiPriority w:val="99"/>
    <w:semiHidden/>
    <w:unhideWhenUsed/>
    <w:rsid w:val="00FA32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a.y.imanae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cs.eaeunion.org/docs/en-us/01433831/err_09062022_81" TargetMode="External"/><Relationship Id="rId4" Type="http://schemas.openxmlformats.org/officeDocument/2006/relationships/webSettings" Target="webSettings.xml"/><Relationship Id="rId9" Type="http://schemas.openxmlformats.org/officeDocument/2006/relationships/hyperlink" Target="https://docs.eaeunion.org/docs/en-us/01411948/cncd_21112016_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660</Words>
  <Characters>3766</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Alfiia Imanaeva</cp:lastModifiedBy>
  <cp:revision>17</cp:revision>
  <dcterms:created xsi:type="dcterms:W3CDTF">2023-02-28T16:25:00Z</dcterms:created>
  <dcterms:modified xsi:type="dcterms:W3CDTF">2023-02-28T16:37:00Z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