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61B5" w:rsidRPr="00554DBF" w:rsidRDefault="006161B5" w:rsidP="002E403E">
      <w:pPr>
        <w:jc w:val="both"/>
        <w:rPr>
          <w:rFonts w:cstheme="majorBidi"/>
          <w:b/>
          <w:bCs/>
          <w:sz w:val="28"/>
        </w:rPr>
      </w:pPr>
      <w:r w:rsidRPr="00554DBF">
        <w:rPr>
          <w:rFonts w:cstheme="majorBidi"/>
          <w:b/>
          <w:bCs/>
          <w:sz w:val="28"/>
        </w:rPr>
        <w:t>Comparison of the prognosis of ischemic stroke patients in a period of one year before and after the establishment of the Acute Stroke Treatment Center (SCU) in Valiasr Hospital, Zanjan</w:t>
      </w:r>
      <w:r w:rsidR="002E403E">
        <w:rPr>
          <w:rFonts w:cstheme="majorBidi"/>
          <w:b/>
          <w:bCs/>
          <w:sz w:val="28"/>
        </w:rPr>
        <w:t xml:space="preserve"> p</w:t>
      </w:r>
      <w:r w:rsidRPr="00554DBF">
        <w:rPr>
          <w:rFonts w:cstheme="majorBidi"/>
          <w:b/>
          <w:bCs/>
          <w:sz w:val="28"/>
        </w:rPr>
        <w:t>rovince</w:t>
      </w:r>
    </w:p>
    <w:p w:rsidR="006161B5" w:rsidRPr="006161B5" w:rsidRDefault="006161B5" w:rsidP="006161B5">
      <w:pPr>
        <w:pStyle w:val="BodyText"/>
        <w:spacing w:before="73" w:line="198" w:lineRule="exact"/>
        <w:ind w:left="100" w:right="5987"/>
        <w:rPr>
          <w:rFonts w:ascii="Arial"/>
          <w:b/>
          <w:bCs/>
        </w:rPr>
      </w:pPr>
      <w:bookmarkStart w:id="0" w:name="_GoBack"/>
      <w:r w:rsidRPr="006161B5">
        <w:rPr>
          <w:rFonts w:ascii="Arial"/>
          <w:b/>
          <w:bCs/>
        </w:rPr>
        <w:t>Mehdi Maghbooli</w:t>
      </w:r>
      <w:bookmarkEnd w:id="0"/>
      <w:r w:rsidR="002E403E">
        <w:rPr>
          <w:rFonts w:ascii="Arial"/>
          <w:b/>
          <w:bCs/>
        </w:rPr>
        <w:t xml:space="preserve"> and </w:t>
      </w:r>
      <w:r w:rsidRPr="006161B5">
        <w:rPr>
          <w:rFonts w:ascii="Arial"/>
          <w:b/>
          <w:bCs/>
        </w:rPr>
        <w:t>Pedram Babaei</w:t>
      </w:r>
    </w:p>
    <w:p w:rsidR="005973B9" w:rsidRPr="009623AD" w:rsidRDefault="009623AD" w:rsidP="009623AD">
      <w:pPr>
        <w:pStyle w:val="BodyText"/>
        <w:spacing w:before="73" w:line="198" w:lineRule="exact"/>
        <w:ind w:left="100" w:right="5987"/>
        <w:rPr>
          <w:rFonts w:ascii="Arial"/>
        </w:rPr>
      </w:pPr>
      <w:r w:rsidRPr="009623AD">
        <w:rPr>
          <w:rFonts w:ascii="Arial"/>
        </w:rPr>
        <w:t>Zanjan University of</w:t>
      </w:r>
      <w:r w:rsidR="002E403E">
        <w:rPr>
          <w:rFonts w:ascii="Arial"/>
        </w:rPr>
        <w:t xml:space="preserve"> Medical Sciences, Iran</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6161B5">
        <w:rPr>
          <w:color w:val="BF5A14"/>
        </w:rPr>
        <w:t xml:space="preserve"> </w:t>
      </w:r>
    </w:p>
    <w:p w:rsidR="006161B5" w:rsidRPr="006161B5" w:rsidRDefault="006161B5" w:rsidP="006161B5">
      <w:pPr>
        <w:pStyle w:val="Heading3"/>
        <w:spacing w:before="74"/>
        <w:jc w:val="both"/>
        <w:rPr>
          <w:rFonts w:ascii="Tw Cen MT" w:hAnsi="Tw Cen MT"/>
          <w:b w:val="0"/>
          <w:bCs w:val="0"/>
          <w:sz w:val="18"/>
          <w:szCs w:val="18"/>
        </w:rPr>
      </w:pPr>
      <w:r w:rsidRPr="006161B5">
        <w:rPr>
          <w:rFonts w:ascii="Tw Cen MT" w:hAnsi="Tw Cen MT"/>
          <w:b w:val="0"/>
          <w:bCs w:val="0"/>
          <w:sz w:val="18"/>
          <w:szCs w:val="18"/>
        </w:rPr>
        <w:t xml:space="preserve">Introduction: Currently, stroke is the third leading cause of disability and the second leading cause of death worldwide. According to reports in Iran, the incidence of first-time stroke is estimated at 43.12 per one hundred thousand people for all ages. Speed </w:t>
      </w:r>
      <w:r w:rsidRPr="006161B5">
        <w:rPr>
          <w:b w:val="0"/>
          <w:bCs w:val="0"/>
          <w:sz w:val="18"/>
          <w:szCs w:val="18"/>
        </w:rPr>
        <w:t>​​</w:t>
      </w:r>
      <w:r w:rsidRPr="006161B5">
        <w:rPr>
          <w:rFonts w:ascii="Tw Cen MT" w:hAnsi="Tw Cen MT"/>
          <w:b w:val="0"/>
          <w:bCs w:val="0"/>
          <w:sz w:val="18"/>
          <w:szCs w:val="18"/>
        </w:rPr>
        <w:t>in the diagnosis and treatment of stroke patients is considered the most important factor in reducing the complications caused by the attack, therefore, the establishment of SCU consists of experienced personnel who specialize in the diagnosis and treatment of this category of patients, is of special importance. In this study, we decided to find out what effect the establishment of the SCU has had on the rate of disability and mortality of patients after entering the hospital.</w:t>
      </w:r>
    </w:p>
    <w:p w:rsidR="006161B5" w:rsidRPr="006161B5" w:rsidRDefault="006161B5" w:rsidP="006161B5">
      <w:pPr>
        <w:pStyle w:val="Heading3"/>
        <w:spacing w:before="74"/>
        <w:jc w:val="both"/>
        <w:rPr>
          <w:rFonts w:ascii="Tw Cen MT" w:hAnsi="Tw Cen MT"/>
          <w:b w:val="0"/>
          <w:bCs w:val="0"/>
          <w:sz w:val="18"/>
          <w:szCs w:val="18"/>
        </w:rPr>
      </w:pPr>
      <w:r w:rsidRPr="006161B5">
        <w:rPr>
          <w:rFonts w:ascii="Tw Cen MT" w:hAnsi="Tw Cen MT"/>
          <w:b w:val="0"/>
          <w:bCs w:val="0"/>
          <w:sz w:val="18"/>
          <w:szCs w:val="18"/>
        </w:rPr>
        <w:t>Materials and methods: Sampling was done from one year before to one year after the date of establishment of the SCU unit (between the first of October 2016 and the end of September 2018) among eligible patients and in each group exactly 153 patients with diagnosis Cerebral ischemic stroke were included (306 cases in total) and the data of their files were carefully examined. Descriptive statistics and analysis were then reported with SPSS software version 26.</w:t>
      </w:r>
    </w:p>
    <w:p w:rsidR="006161B5" w:rsidRPr="006161B5" w:rsidRDefault="006161B5" w:rsidP="006161B5">
      <w:pPr>
        <w:pStyle w:val="Heading3"/>
        <w:spacing w:before="74"/>
        <w:jc w:val="both"/>
        <w:rPr>
          <w:rFonts w:ascii="Tw Cen MT" w:hAnsi="Tw Cen MT"/>
          <w:b w:val="0"/>
          <w:bCs w:val="0"/>
          <w:sz w:val="18"/>
          <w:szCs w:val="18"/>
        </w:rPr>
      </w:pPr>
      <w:r w:rsidRPr="006161B5">
        <w:rPr>
          <w:rFonts w:ascii="Tw Cen MT" w:hAnsi="Tw Cen MT"/>
          <w:b w:val="0"/>
          <w:bCs w:val="0"/>
          <w:sz w:val="18"/>
          <w:szCs w:val="18"/>
        </w:rPr>
        <w:t xml:space="preserve">Results: The investigations showed that although there was no statistically significant difference in any of the seven criteria we considered in terms of complications of ischemic stroke in admit during the period before and after the establishment of SCU, but the average scores of upper and lower limbs </w:t>
      </w:r>
      <w:bookmarkStart w:id="1" w:name="_Hlk112916304"/>
      <w:r w:rsidRPr="006161B5">
        <w:rPr>
          <w:rFonts w:ascii="Tw Cen MT" w:hAnsi="Tw Cen MT"/>
          <w:b w:val="0"/>
          <w:bCs w:val="0"/>
          <w:sz w:val="18"/>
          <w:szCs w:val="18"/>
        </w:rPr>
        <w:t xml:space="preserve">at the time of discharge </w:t>
      </w:r>
      <w:bookmarkEnd w:id="1"/>
      <w:r w:rsidRPr="006161B5">
        <w:rPr>
          <w:rFonts w:ascii="Tw Cen MT" w:hAnsi="Tw Cen MT"/>
          <w:b w:val="0"/>
          <w:bCs w:val="0"/>
          <w:sz w:val="18"/>
          <w:szCs w:val="18"/>
        </w:rPr>
        <w:t xml:space="preserve">before and after the establishment of the stroke acute care unit were statistically significant (p-value &lt; 0.05).Such a result did not apply to the comparison of the average NIHSS scores of the other investigated values or mortality rate. Of course, it should be noted that the above results are taken into account without considering the effect of </w:t>
      </w:r>
      <w:proofErr w:type="spellStart"/>
      <w:r w:rsidRPr="006161B5">
        <w:rPr>
          <w:rFonts w:ascii="Tw Cen MT" w:hAnsi="Tw Cen MT"/>
          <w:b w:val="0"/>
          <w:bCs w:val="0"/>
          <w:sz w:val="18"/>
          <w:szCs w:val="18"/>
        </w:rPr>
        <w:t>rTPA</w:t>
      </w:r>
      <w:proofErr w:type="spellEnd"/>
      <w:r w:rsidRPr="006161B5">
        <w:rPr>
          <w:rFonts w:ascii="Tw Cen MT" w:hAnsi="Tw Cen MT"/>
          <w:b w:val="0"/>
          <w:bCs w:val="0"/>
          <w:sz w:val="18"/>
          <w:szCs w:val="18"/>
        </w:rPr>
        <w:t xml:space="preserve">, and if the data are arranged according to the patients receiving and not receiving </w:t>
      </w:r>
      <w:proofErr w:type="spellStart"/>
      <w:r w:rsidRPr="006161B5">
        <w:rPr>
          <w:rFonts w:ascii="Tw Cen MT" w:hAnsi="Tw Cen MT"/>
          <w:b w:val="0"/>
          <w:bCs w:val="0"/>
          <w:sz w:val="18"/>
          <w:szCs w:val="18"/>
        </w:rPr>
        <w:t>rTPA</w:t>
      </w:r>
      <w:proofErr w:type="spellEnd"/>
      <w:r w:rsidRPr="006161B5">
        <w:rPr>
          <w:rFonts w:ascii="Tw Cen MT" w:hAnsi="Tw Cen MT"/>
          <w:b w:val="0"/>
          <w:bCs w:val="0"/>
          <w:sz w:val="18"/>
          <w:szCs w:val="18"/>
        </w:rPr>
        <w:t>, the conclusions will be different and there will be a significant effect in improving the calculated score among most of the components of patients in the period after the establishment of SCU.</w:t>
      </w:r>
    </w:p>
    <w:p w:rsidR="006161B5" w:rsidRDefault="006161B5" w:rsidP="006161B5">
      <w:pPr>
        <w:pStyle w:val="Heading3"/>
        <w:spacing w:before="74"/>
        <w:jc w:val="both"/>
        <w:rPr>
          <w:rFonts w:ascii="Tw Cen MT" w:hAnsi="Tw Cen MT"/>
          <w:b w:val="0"/>
          <w:bCs w:val="0"/>
          <w:sz w:val="18"/>
          <w:szCs w:val="18"/>
        </w:rPr>
      </w:pPr>
      <w:r w:rsidRPr="006161B5">
        <w:rPr>
          <w:rFonts w:ascii="Tw Cen MT" w:hAnsi="Tw Cen MT"/>
          <w:b w:val="0"/>
          <w:bCs w:val="0"/>
          <w:sz w:val="18"/>
          <w:szCs w:val="18"/>
        </w:rPr>
        <w:t xml:space="preserve">Discussion and conclusion: This study generally showed that the NIHSS scores of the upper and lower limbs at the time of discharge before and after the establishment of the SCU were statically significant, but the components of mortality, Language and speech, facial paralysis, sensory and vision impairment did not demonstrate such result (without considering the effect of </w:t>
      </w:r>
      <w:proofErr w:type="spellStart"/>
      <w:r w:rsidRPr="006161B5">
        <w:rPr>
          <w:rFonts w:ascii="Tw Cen MT" w:hAnsi="Tw Cen MT"/>
          <w:b w:val="0"/>
          <w:bCs w:val="0"/>
          <w:sz w:val="18"/>
          <w:szCs w:val="18"/>
        </w:rPr>
        <w:t>rTPA</w:t>
      </w:r>
      <w:proofErr w:type="spellEnd"/>
      <w:r w:rsidRPr="006161B5">
        <w:rPr>
          <w:rFonts w:ascii="Tw Cen MT" w:hAnsi="Tw Cen MT"/>
          <w:b w:val="0"/>
          <w:bCs w:val="0"/>
          <w:sz w:val="18"/>
          <w:szCs w:val="18"/>
        </w:rPr>
        <w:t>).</w:t>
      </w:r>
    </w:p>
    <w:p w:rsidR="001C2270" w:rsidRPr="001C2270" w:rsidRDefault="001C2270" w:rsidP="001C2270">
      <w:pPr>
        <w:pStyle w:val="Heading3"/>
        <w:spacing w:before="74"/>
        <w:rPr>
          <w:rFonts w:ascii="Tw Cen MT" w:hAnsi="Tw Cen MT"/>
          <w:b w:val="0"/>
          <w:bCs w:val="0"/>
          <w:sz w:val="18"/>
          <w:szCs w:val="18"/>
        </w:rPr>
      </w:pPr>
      <w:r w:rsidRPr="001C2270">
        <w:rPr>
          <w:rFonts w:ascii="Tw Cen MT" w:hAnsi="Tw Cen MT"/>
          <w:b w:val="0"/>
          <w:bCs w:val="0"/>
          <w:sz w:val="18"/>
          <w:szCs w:val="18"/>
        </w:rPr>
        <w:t>Keywords: prognosis, ischemic stroke, Stroke Care Unit, CVA, SCU</w:t>
      </w:r>
    </w:p>
    <w:p w:rsidR="001C2270" w:rsidRPr="006161B5" w:rsidRDefault="001C2270" w:rsidP="006161B5">
      <w:pPr>
        <w:pStyle w:val="Heading3"/>
        <w:spacing w:before="74"/>
        <w:jc w:val="both"/>
        <w:rPr>
          <w:rFonts w:ascii="Tw Cen MT" w:hAnsi="Tw Cen MT"/>
          <w:b w:val="0"/>
          <w:bCs w:val="0"/>
          <w:sz w:val="18"/>
          <w:szCs w:val="18"/>
        </w:rPr>
      </w:pPr>
    </w:p>
    <w:p w:rsidR="005973B9" w:rsidRDefault="00A9710C" w:rsidP="009623AD">
      <w:pPr>
        <w:pStyle w:val="Heading3"/>
        <w:spacing w:before="74"/>
        <w:ind w:left="0"/>
        <w:rPr>
          <w:b w:val="0"/>
          <w:color w:val="BF5A14"/>
          <w:rtl/>
        </w:rPr>
      </w:pPr>
      <w:r>
        <w:rPr>
          <w:b w:val="0"/>
        </w:rPr>
        <w:br w:type="column"/>
      </w:r>
      <w:r w:rsidR="004B03CC">
        <w:rPr>
          <w:b w:val="0"/>
          <w:color w:val="BF5A14"/>
        </w:rPr>
        <w:lastRenderedPageBreak/>
        <w:br/>
        <w:t xml:space="preserve">Recent Publications </w:t>
      </w:r>
    </w:p>
    <w:p w:rsidR="004611EC" w:rsidRDefault="004611EC" w:rsidP="004611EC">
      <w:pPr>
        <w:spacing w:line="204" w:lineRule="exact"/>
        <w:rPr>
          <w:rFonts w:ascii="Arial"/>
          <w:b/>
          <w:sz w:val="20"/>
        </w:rPr>
      </w:pPr>
    </w:p>
    <w:p w:rsidR="00441FB7" w:rsidRPr="00441FB7" w:rsidRDefault="00441FB7" w:rsidP="004D1B9B">
      <w:pPr>
        <w:pStyle w:val="ListParagraph"/>
        <w:numPr>
          <w:ilvl w:val="0"/>
          <w:numId w:val="3"/>
        </w:numPr>
        <w:spacing w:line="204" w:lineRule="exact"/>
        <w:rPr>
          <w:rFonts w:asciiTheme="minorHAnsi" w:hAnsiTheme="minorHAnsi" w:cstheme="minorHAnsi"/>
          <w:bCs/>
          <w:sz w:val="18"/>
          <w:szCs w:val="18"/>
          <w:rtl/>
        </w:rPr>
      </w:pPr>
      <w:r w:rsidRPr="00441FB7">
        <w:rPr>
          <w:rFonts w:asciiTheme="minorHAnsi" w:hAnsiTheme="minorHAnsi" w:cstheme="minorHAnsi"/>
          <w:bCs/>
          <w:sz w:val="18"/>
          <w:szCs w:val="18"/>
        </w:rPr>
        <w:t xml:space="preserve">Comparison of Herpes Simplex Virus Reactivation Frequency in Acute Idiopathic Cranial </w:t>
      </w:r>
      <w:proofErr w:type="spellStart"/>
      <w:r w:rsidRPr="00441FB7">
        <w:rPr>
          <w:rFonts w:asciiTheme="minorHAnsi" w:hAnsiTheme="minorHAnsi" w:cstheme="minorHAnsi"/>
          <w:bCs/>
          <w:sz w:val="18"/>
          <w:szCs w:val="18"/>
        </w:rPr>
        <w:t>Mononeuropathy</w:t>
      </w:r>
      <w:proofErr w:type="spellEnd"/>
      <w:r w:rsidRPr="00441FB7">
        <w:rPr>
          <w:rFonts w:asciiTheme="minorHAnsi" w:hAnsiTheme="minorHAnsi" w:cstheme="minorHAnsi"/>
          <w:bCs/>
          <w:sz w:val="18"/>
          <w:szCs w:val="18"/>
        </w:rPr>
        <w:t xml:space="preserve"> and Normal Population by Serological Assay</w:t>
      </w:r>
      <w:r w:rsidRPr="00441FB7">
        <w:rPr>
          <w:rFonts w:asciiTheme="minorHAnsi" w:hAnsiTheme="minorHAnsi" w:cstheme="minorHAnsi"/>
          <w:bCs/>
          <w:sz w:val="18"/>
          <w:szCs w:val="18"/>
        </w:rPr>
        <w:tab/>
        <w:t>Arch Clin Infect Dis. 2022 October Vol 17 ;Issue 5</w:t>
      </w:r>
    </w:p>
    <w:p w:rsidR="005973B9" w:rsidRDefault="004611EC" w:rsidP="00441FB7">
      <w:pPr>
        <w:pStyle w:val="ListParagraph"/>
        <w:numPr>
          <w:ilvl w:val="0"/>
          <w:numId w:val="3"/>
        </w:numPr>
        <w:tabs>
          <w:tab w:val="left" w:pos="384"/>
        </w:tabs>
        <w:spacing w:before="103" w:line="216" w:lineRule="exact"/>
        <w:ind w:right="138"/>
        <w:rPr>
          <w:sz w:val="18"/>
        </w:rPr>
      </w:pPr>
      <w:r w:rsidRPr="004611EC">
        <w:rPr>
          <w:sz w:val="18"/>
        </w:rPr>
        <w:t xml:space="preserve">Refractory Convulsive Status </w:t>
      </w:r>
      <w:proofErr w:type="spellStart"/>
      <w:r w:rsidRPr="004611EC">
        <w:rPr>
          <w:sz w:val="18"/>
        </w:rPr>
        <w:t>Epilepticus</w:t>
      </w:r>
      <w:proofErr w:type="spellEnd"/>
      <w:r w:rsidRPr="004611EC">
        <w:rPr>
          <w:sz w:val="18"/>
        </w:rPr>
        <w:t xml:space="preserve"> Provoked by Intoxication with </w:t>
      </w:r>
      <w:proofErr w:type="spellStart"/>
      <w:r w:rsidRPr="004611EC">
        <w:rPr>
          <w:sz w:val="18"/>
        </w:rPr>
        <w:t>Dalfampridine</w:t>
      </w:r>
      <w:proofErr w:type="spellEnd"/>
      <w:r w:rsidRPr="004611EC">
        <w:rPr>
          <w:sz w:val="18"/>
        </w:rPr>
        <w:t xml:space="preserve"> in a Patient with Multiple Sclerosis and Depression Disorder: A Case Report and Literature Review.</w:t>
      </w:r>
      <w:r w:rsidRPr="004611EC">
        <w:rPr>
          <w:sz w:val="18"/>
        </w:rPr>
        <w:tab/>
      </w:r>
      <w:proofErr w:type="spellStart"/>
      <w:r w:rsidRPr="004611EC">
        <w:rPr>
          <w:sz w:val="18"/>
        </w:rPr>
        <w:t>Acta</w:t>
      </w:r>
      <w:proofErr w:type="spellEnd"/>
      <w:r w:rsidRPr="004611EC">
        <w:rPr>
          <w:sz w:val="18"/>
        </w:rPr>
        <w:t xml:space="preserve"> </w:t>
      </w:r>
      <w:proofErr w:type="spellStart"/>
      <w:r w:rsidRPr="004611EC">
        <w:rPr>
          <w:sz w:val="18"/>
        </w:rPr>
        <w:t>Neurolo</w:t>
      </w:r>
      <w:r w:rsidR="00441FB7">
        <w:rPr>
          <w:sz w:val="18"/>
        </w:rPr>
        <w:t>gica</w:t>
      </w:r>
      <w:proofErr w:type="spellEnd"/>
      <w:r w:rsidR="00441FB7">
        <w:rPr>
          <w:sz w:val="18"/>
        </w:rPr>
        <w:t xml:space="preserve"> </w:t>
      </w:r>
      <w:proofErr w:type="spellStart"/>
      <w:r w:rsidR="00441FB7">
        <w:rPr>
          <w:sz w:val="18"/>
        </w:rPr>
        <w:t>Taiwanica</w:t>
      </w:r>
      <w:proofErr w:type="spellEnd"/>
      <w:r w:rsidR="00441FB7">
        <w:rPr>
          <w:sz w:val="18"/>
        </w:rPr>
        <w:t>, 32(1):37-41</w:t>
      </w:r>
    </w:p>
    <w:p w:rsidR="004611EC" w:rsidRPr="004611EC" w:rsidRDefault="004611EC" w:rsidP="00441FB7">
      <w:pPr>
        <w:pStyle w:val="ListParagraph"/>
        <w:numPr>
          <w:ilvl w:val="0"/>
          <w:numId w:val="3"/>
        </w:numPr>
        <w:tabs>
          <w:tab w:val="left" w:pos="384"/>
        </w:tabs>
        <w:spacing w:line="216" w:lineRule="exact"/>
        <w:ind w:right="137"/>
        <w:rPr>
          <w:sz w:val="18"/>
        </w:rPr>
      </w:pPr>
      <w:r w:rsidRPr="004611EC">
        <w:rPr>
          <w:sz w:val="18"/>
        </w:rPr>
        <w:t xml:space="preserve">Effect of add-on melatonin on seizure outcomes and quality of sleep in </w:t>
      </w:r>
      <w:proofErr w:type="spellStart"/>
      <w:r w:rsidRPr="004611EC">
        <w:rPr>
          <w:sz w:val="18"/>
        </w:rPr>
        <w:t>epilepsywith</w:t>
      </w:r>
      <w:proofErr w:type="spellEnd"/>
      <w:r w:rsidRPr="004611EC">
        <w:rPr>
          <w:sz w:val="18"/>
        </w:rPr>
        <w:t xml:space="preserve"> idiopathic generalized tonic-</w:t>
      </w:r>
      <w:proofErr w:type="spellStart"/>
      <w:r w:rsidRPr="004611EC">
        <w:rPr>
          <w:sz w:val="18"/>
        </w:rPr>
        <w:t>clonic</w:t>
      </w:r>
      <w:proofErr w:type="spellEnd"/>
      <w:r w:rsidRPr="004611EC">
        <w:rPr>
          <w:rFonts w:hint="cs"/>
          <w:sz w:val="18"/>
          <w:rtl/>
        </w:rPr>
        <w:t xml:space="preserve"> </w:t>
      </w:r>
      <w:r w:rsidRPr="004611EC">
        <w:rPr>
          <w:sz w:val="18"/>
        </w:rPr>
        <w:t xml:space="preserve">seizures alone in adult patients: Cross-sectional, </w:t>
      </w:r>
      <w:proofErr w:type="spellStart"/>
      <w:r w:rsidRPr="004611EC">
        <w:rPr>
          <w:sz w:val="18"/>
        </w:rPr>
        <w:t>randomized,double</w:t>
      </w:r>
      <w:proofErr w:type="spellEnd"/>
      <w:r w:rsidRPr="004611EC">
        <w:rPr>
          <w:sz w:val="18"/>
        </w:rPr>
        <w:t xml:space="preserve">-blind, placebo-controlled clinical </w:t>
      </w:r>
      <w:proofErr w:type="spellStart"/>
      <w:r w:rsidRPr="004611EC">
        <w:rPr>
          <w:sz w:val="18"/>
        </w:rPr>
        <w:t>trial</w:t>
      </w:r>
      <w:r w:rsidR="00441FB7">
        <w:rPr>
          <w:sz w:val="18"/>
        </w:rPr>
        <w:t>;</w:t>
      </w:r>
      <w:r w:rsidRPr="004611EC">
        <w:rPr>
          <w:sz w:val="18"/>
        </w:rPr>
        <w:t>Brain</w:t>
      </w:r>
      <w:proofErr w:type="spellEnd"/>
      <w:r w:rsidRPr="004611EC">
        <w:rPr>
          <w:sz w:val="18"/>
        </w:rPr>
        <w:t xml:space="preserve"> and Behavior</w:t>
      </w:r>
    </w:p>
    <w:p w:rsidR="005973B9" w:rsidRPr="004611EC" w:rsidRDefault="004611EC" w:rsidP="00441FB7">
      <w:pPr>
        <w:pStyle w:val="ListParagraph"/>
        <w:numPr>
          <w:ilvl w:val="0"/>
          <w:numId w:val="3"/>
        </w:numPr>
        <w:tabs>
          <w:tab w:val="left" w:pos="384"/>
        </w:tabs>
        <w:spacing w:line="216" w:lineRule="exact"/>
        <w:ind w:right="137"/>
        <w:rPr>
          <w:sz w:val="18"/>
        </w:rPr>
      </w:pPr>
      <w:r w:rsidRPr="004611EC">
        <w:rPr>
          <w:sz w:val="18"/>
        </w:rPr>
        <w:t xml:space="preserve">Is There Any Relation between Serum Levels of Interleukin-10 and Neurophysiological Abnormalities in </w:t>
      </w:r>
      <w:proofErr w:type="gramStart"/>
      <w:r w:rsidRPr="004611EC">
        <w:rPr>
          <w:sz w:val="18"/>
        </w:rPr>
        <w:t>Bell’s Palsy</w:t>
      </w:r>
      <w:proofErr w:type="gramEnd"/>
      <w:r w:rsidRPr="004611EC">
        <w:rPr>
          <w:sz w:val="18"/>
        </w:rPr>
        <w:t>?</w:t>
      </w:r>
      <w:r w:rsidRPr="004611EC">
        <w:rPr>
          <w:sz w:val="18"/>
        </w:rPr>
        <w:tab/>
      </w:r>
      <w:proofErr w:type="spellStart"/>
      <w:r w:rsidRPr="004611EC">
        <w:rPr>
          <w:sz w:val="18"/>
        </w:rPr>
        <w:t>Acta</w:t>
      </w:r>
      <w:proofErr w:type="spellEnd"/>
      <w:r w:rsidRPr="004611EC">
        <w:rPr>
          <w:sz w:val="18"/>
        </w:rPr>
        <w:t xml:space="preserve"> </w:t>
      </w:r>
      <w:proofErr w:type="spellStart"/>
      <w:r w:rsidRPr="004611EC">
        <w:rPr>
          <w:sz w:val="18"/>
        </w:rPr>
        <w:t>Medica</w:t>
      </w:r>
      <w:proofErr w:type="spellEnd"/>
      <w:r w:rsidRPr="004611EC">
        <w:rPr>
          <w:sz w:val="18"/>
        </w:rPr>
        <w:t xml:space="preserve"> </w:t>
      </w:r>
      <w:proofErr w:type="spellStart"/>
      <w:r w:rsidRPr="004611EC">
        <w:rPr>
          <w:sz w:val="18"/>
        </w:rPr>
        <w:t>Lituanica</w:t>
      </w:r>
      <w:proofErr w:type="spellEnd"/>
      <w:r w:rsidRPr="004611EC">
        <w:rPr>
          <w:sz w:val="18"/>
        </w:rPr>
        <w:t>. 2021. Vol. 28. No 2, pp. 262–271</w:t>
      </w:r>
    </w:p>
    <w:p w:rsidR="005973B9" w:rsidRPr="00441FB7" w:rsidRDefault="004611EC" w:rsidP="00441FB7">
      <w:pPr>
        <w:pStyle w:val="ListParagraph"/>
        <w:numPr>
          <w:ilvl w:val="0"/>
          <w:numId w:val="3"/>
        </w:numPr>
        <w:tabs>
          <w:tab w:val="left" w:pos="384"/>
        </w:tabs>
        <w:spacing w:line="216" w:lineRule="exact"/>
        <w:ind w:right="138"/>
        <w:rPr>
          <w:sz w:val="18"/>
        </w:rPr>
      </w:pPr>
      <w:r w:rsidRPr="00441FB7">
        <w:rPr>
          <w:sz w:val="18"/>
        </w:rPr>
        <w:t>The prevalence of metabolic syndrome parameters and their</w:t>
      </w:r>
      <w:r w:rsidR="00441FB7" w:rsidRPr="00441FB7">
        <w:rPr>
          <w:sz w:val="18"/>
        </w:rPr>
        <w:t xml:space="preserve"> </w:t>
      </w:r>
      <w:r w:rsidRPr="00441FB7">
        <w:rPr>
          <w:sz w:val="18"/>
        </w:rPr>
        <w:t>association with headache characteristics among migraineurs</w:t>
      </w:r>
      <w:r w:rsidRPr="00441FB7">
        <w:rPr>
          <w:sz w:val="18"/>
        </w:rPr>
        <w:tab/>
        <w:t>Current Journal of Neurology 2021; 20(4): 190-201</w:t>
      </w:r>
    </w:p>
    <w:p w:rsidR="004611EC" w:rsidRPr="004611EC" w:rsidRDefault="004611EC" w:rsidP="00FB76B2">
      <w:pPr>
        <w:pStyle w:val="ListParagraph"/>
        <w:numPr>
          <w:ilvl w:val="0"/>
          <w:numId w:val="3"/>
        </w:numPr>
        <w:tabs>
          <w:tab w:val="left" w:pos="384"/>
        </w:tabs>
        <w:spacing w:before="92" w:line="218" w:lineRule="exact"/>
        <w:rPr>
          <w:sz w:val="18"/>
        </w:rPr>
      </w:pPr>
      <w:r w:rsidRPr="004611EC">
        <w:rPr>
          <w:sz w:val="18"/>
        </w:rPr>
        <w:t xml:space="preserve">Interrelation between INF-γ levels and severity of </w:t>
      </w:r>
      <w:proofErr w:type="spellStart"/>
      <w:r w:rsidRPr="004611EC">
        <w:rPr>
          <w:sz w:val="18"/>
        </w:rPr>
        <w:t>electrodiagnostic</w:t>
      </w:r>
      <w:proofErr w:type="spellEnd"/>
      <w:r w:rsidRPr="004611EC">
        <w:rPr>
          <w:sz w:val="18"/>
        </w:rPr>
        <w:t xml:space="preserve"> abnormality in acute phase of Bell</w:t>
      </w:r>
      <w:r w:rsidRPr="004611EC">
        <w:rPr>
          <w:rFonts w:ascii="Tw Cen MT" w:hAnsi="Tw Cen MT" w:cs="Tw Cen MT"/>
          <w:sz w:val="18"/>
        </w:rPr>
        <w:t>’</w:t>
      </w:r>
      <w:r w:rsidRPr="004611EC">
        <w:rPr>
          <w:sz w:val="18"/>
        </w:rPr>
        <w:t>s palsy</w:t>
      </w:r>
      <w:r w:rsidRPr="004611EC">
        <w:rPr>
          <w:sz w:val="18"/>
        </w:rPr>
        <w:tab/>
      </w:r>
      <w:proofErr w:type="spellStart"/>
      <w:r w:rsidRPr="004611EC">
        <w:rPr>
          <w:sz w:val="18"/>
        </w:rPr>
        <w:t>Neurolog</w:t>
      </w:r>
      <w:r w:rsidRPr="004611EC">
        <w:rPr>
          <w:rFonts w:ascii="Tw Cen MT" w:hAnsi="Tw Cen MT" w:cs="Tw Cen MT"/>
          <w:sz w:val="18"/>
        </w:rPr>
        <w:t>í</w:t>
      </w:r>
      <w:r w:rsidRPr="004611EC">
        <w:rPr>
          <w:sz w:val="18"/>
        </w:rPr>
        <w:t>a</w:t>
      </w:r>
      <w:proofErr w:type="spellEnd"/>
      <w:r w:rsidRPr="004611EC">
        <w:rPr>
          <w:sz w:val="18"/>
        </w:rPr>
        <w:t xml:space="preserve"> Argentina;2 0 2 2;1 4(3):147–154</w:t>
      </w:r>
    </w:p>
    <w:p w:rsidR="004611EC" w:rsidRDefault="004611EC" w:rsidP="0078083F">
      <w:pPr>
        <w:pStyle w:val="ListParagraph"/>
        <w:numPr>
          <w:ilvl w:val="0"/>
          <w:numId w:val="3"/>
        </w:numPr>
        <w:tabs>
          <w:tab w:val="left" w:pos="384"/>
        </w:tabs>
        <w:spacing w:before="92" w:line="218" w:lineRule="exact"/>
        <w:rPr>
          <w:sz w:val="18"/>
        </w:rPr>
      </w:pPr>
      <w:r w:rsidRPr="004611EC">
        <w:rPr>
          <w:sz w:val="18"/>
        </w:rPr>
        <w:t>Effectiveness of Selenium Supplement on Cognitive Function in Patients with Epilepsy</w:t>
      </w:r>
      <w:r w:rsidRPr="004611EC">
        <w:rPr>
          <w:sz w:val="18"/>
        </w:rPr>
        <w:tab/>
        <w:t xml:space="preserve">NEUROPSYCHIATRIC </w:t>
      </w:r>
      <w:r w:rsidR="00441FB7">
        <w:rPr>
          <w:sz w:val="18"/>
        </w:rPr>
        <w:t xml:space="preserve"> </w:t>
      </w:r>
      <w:r w:rsidRPr="004611EC">
        <w:rPr>
          <w:sz w:val="18"/>
        </w:rPr>
        <w:t>INVESTIGATION;</w:t>
      </w:r>
      <w:r w:rsidR="00441FB7">
        <w:rPr>
          <w:sz w:val="18"/>
        </w:rPr>
        <w:t xml:space="preserve"> </w:t>
      </w:r>
      <w:r w:rsidRPr="004611EC">
        <w:rPr>
          <w:sz w:val="18"/>
        </w:rPr>
        <w:t>Volume 60 • Issue 2 • June 2022;: 38-41</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AE3E37">
      <w:pPr>
        <w:pStyle w:val="BodyText"/>
        <w:spacing w:line="40" w:lineRule="exact"/>
        <w:ind w:left="2202"/>
        <w:rPr>
          <w:rFonts w:ascii="Calibri"/>
          <w:sz w:val="4"/>
        </w:rPr>
      </w:pPr>
    </w:p>
    <w:p w:rsidR="00941FC7" w:rsidRDefault="008756E6" w:rsidP="00404E5B">
      <w:pPr>
        <w:spacing w:before="92"/>
        <w:ind w:right="4234"/>
        <w:rPr>
          <w:noProof/>
        </w:rPr>
      </w:pPr>
      <w:r>
        <w:rPr>
          <w:noProof/>
        </w:rPr>
        <w:t xml:space="preserve">              </w:t>
      </w:r>
    </w:p>
    <w:p w:rsidR="00AE3E37" w:rsidRPr="002E403E" w:rsidRDefault="00A9710C" w:rsidP="00404E5B">
      <w:pPr>
        <w:spacing w:before="92"/>
        <w:ind w:right="4234"/>
        <w:rPr>
          <w:sz w:val="24"/>
          <w:szCs w:val="24"/>
        </w:rPr>
      </w:pPr>
      <w:r w:rsidRPr="002E403E">
        <w:rPr>
          <w:color w:val="BF5A14"/>
          <w:sz w:val="24"/>
          <w:szCs w:val="24"/>
        </w:rPr>
        <w:t>Biography</w:t>
      </w:r>
      <w:r w:rsidR="00941FC7" w:rsidRPr="002E403E">
        <w:rPr>
          <w:color w:val="BF5A14"/>
          <w:sz w:val="24"/>
          <w:szCs w:val="24"/>
        </w:rPr>
        <w:t xml:space="preserve"> </w:t>
      </w:r>
    </w:p>
    <w:p w:rsidR="00941FC7" w:rsidRPr="002E403E" w:rsidRDefault="00941FC7" w:rsidP="00941FC7">
      <w:pPr>
        <w:autoSpaceDE w:val="0"/>
        <w:autoSpaceDN w:val="0"/>
        <w:adjustRightInd w:val="0"/>
        <w:jc w:val="both"/>
        <w:rPr>
          <w:rFonts w:eastAsiaTheme="minorEastAsia" w:cstheme="minorHAnsi"/>
          <w:sz w:val="24"/>
          <w:szCs w:val="24"/>
        </w:rPr>
      </w:pPr>
      <w:r w:rsidRPr="002E403E">
        <w:rPr>
          <w:rFonts w:eastAsiaTheme="minorEastAsia" w:cstheme="minorHAnsi"/>
          <w:sz w:val="24"/>
          <w:szCs w:val="24"/>
        </w:rPr>
        <w:t xml:space="preserve">Dr. Mehdi Maghbooli studied neurology at the Tehran University of Medical </w:t>
      </w:r>
      <w:proofErr w:type="spellStart"/>
      <w:r w:rsidRPr="002E403E">
        <w:rPr>
          <w:rFonts w:eastAsiaTheme="minorEastAsia" w:cstheme="minorHAnsi"/>
          <w:sz w:val="24"/>
          <w:szCs w:val="24"/>
        </w:rPr>
        <w:t>Sciences</w:t>
      </w:r>
      <w:proofErr w:type="gramStart"/>
      <w:r w:rsidRPr="002E403E">
        <w:rPr>
          <w:rFonts w:eastAsiaTheme="minorEastAsia" w:cstheme="minorHAnsi"/>
          <w:sz w:val="24"/>
          <w:szCs w:val="24"/>
        </w:rPr>
        <w:t>,Iran</w:t>
      </w:r>
      <w:proofErr w:type="spellEnd"/>
      <w:proofErr w:type="gramEnd"/>
      <w:r w:rsidRPr="002E403E">
        <w:rPr>
          <w:rFonts w:eastAsiaTheme="minorEastAsia" w:cstheme="minorHAnsi"/>
          <w:sz w:val="24"/>
          <w:szCs w:val="24"/>
        </w:rPr>
        <w:t xml:space="preserve"> and graduated as MD.PHD in 2006.He then joined the Zanjan faculty of Medicine. He obtained the position of an Associate Professor in 2016 at the same institution. He has published more than 35 research articles.</w:t>
      </w:r>
    </w:p>
    <w:p w:rsidR="00AE3E37" w:rsidRPr="002E403E" w:rsidRDefault="00AE3E37">
      <w:pPr>
        <w:pStyle w:val="BodyText"/>
        <w:rPr>
          <w:rFonts w:ascii="Arial"/>
          <w:sz w:val="24"/>
          <w:szCs w:val="24"/>
        </w:rPr>
      </w:pPr>
    </w:p>
    <w:p w:rsidR="00AE3E37" w:rsidRPr="002E403E" w:rsidRDefault="00AE3E37">
      <w:pPr>
        <w:pStyle w:val="BodyText"/>
        <w:spacing w:before="7"/>
        <w:rPr>
          <w:rFonts w:ascii="Arial"/>
          <w:sz w:val="24"/>
          <w:szCs w:val="24"/>
        </w:rPr>
      </w:pP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9623AD">
      <w:pPr>
        <w:autoSpaceDE w:val="0"/>
        <w:autoSpaceDN w:val="0"/>
        <w:adjustRightInd w:val="0"/>
        <w:rPr>
          <w:sz w:val="20"/>
          <w:szCs w:val="20"/>
          <w:lang w:val="en-NZ"/>
        </w:rPr>
      </w:pPr>
      <w:r w:rsidRPr="00F35A62">
        <w:rPr>
          <w:sz w:val="20"/>
          <w:szCs w:val="20"/>
          <w:lang w:val="en-NZ"/>
        </w:rPr>
        <w:br/>
      </w:r>
    </w:p>
    <w:p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127D" w:rsidRDefault="0036127D">
      <w:r>
        <w:separator/>
      </w:r>
    </w:p>
  </w:endnote>
  <w:endnote w:type="continuationSeparator" w:id="0">
    <w:p w:rsidR="0036127D" w:rsidRDefault="003612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16353DE7"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37E56F9"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D6ACFB3"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127D" w:rsidRDefault="0036127D">
      <w:r>
        <w:separator/>
      </w:r>
    </w:p>
  </w:footnote>
  <w:footnote w:type="continuationSeparator" w:id="0">
    <w:p w:rsidR="0036127D" w:rsidRDefault="0036127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1C2270"/>
    <w:rsid w:val="00292ED9"/>
    <w:rsid w:val="002E403E"/>
    <w:rsid w:val="00351D9B"/>
    <w:rsid w:val="0036127D"/>
    <w:rsid w:val="00380299"/>
    <w:rsid w:val="003C2821"/>
    <w:rsid w:val="00404E5B"/>
    <w:rsid w:val="00414F7B"/>
    <w:rsid w:val="004355DC"/>
    <w:rsid w:val="00441FB7"/>
    <w:rsid w:val="004611EC"/>
    <w:rsid w:val="004618A4"/>
    <w:rsid w:val="004749B4"/>
    <w:rsid w:val="00475D20"/>
    <w:rsid w:val="00494130"/>
    <w:rsid w:val="004B03CC"/>
    <w:rsid w:val="004F3523"/>
    <w:rsid w:val="004F7140"/>
    <w:rsid w:val="00590D60"/>
    <w:rsid w:val="005973B9"/>
    <w:rsid w:val="005B3A56"/>
    <w:rsid w:val="006060CE"/>
    <w:rsid w:val="0061505C"/>
    <w:rsid w:val="006161B5"/>
    <w:rsid w:val="0063497F"/>
    <w:rsid w:val="00714354"/>
    <w:rsid w:val="00873DF0"/>
    <w:rsid w:val="008756E6"/>
    <w:rsid w:val="00897EC5"/>
    <w:rsid w:val="008A0763"/>
    <w:rsid w:val="008E5477"/>
    <w:rsid w:val="00941FC7"/>
    <w:rsid w:val="009623AD"/>
    <w:rsid w:val="009B2D44"/>
    <w:rsid w:val="00A07E82"/>
    <w:rsid w:val="00A52075"/>
    <w:rsid w:val="00A9710C"/>
    <w:rsid w:val="00AE3E37"/>
    <w:rsid w:val="00B21A57"/>
    <w:rsid w:val="00BE6743"/>
    <w:rsid w:val="00C33602"/>
    <w:rsid w:val="00C56C74"/>
    <w:rsid w:val="00C613AC"/>
    <w:rsid w:val="00CD6F55"/>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686</Words>
  <Characters>3911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Vascular Dementia</cp:lastModifiedBy>
  <cp:revision>2</cp:revision>
  <dcterms:created xsi:type="dcterms:W3CDTF">2023-02-28T09:49:00Z</dcterms:created>
  <dcterms:modified xsi:type="dcterms:W3CDTF">2023-02-28T09:49:00Z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