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27D" w:rsidRPr="0059127D" w:rsidRDefault="00525594" w:rsidP="0059127D">
      <w:pPr>
        <w:pStyle w:val="Heading3"/>
        <w:spacing w:before="74"/>
        <w:jc w:val="both"/>
        <w:rPr>
          <w:rFonts w:ascii="Tw Cen MT" w:hAnsi="Tw Cen MT"/>
          <w:sz w:val="24"/>
          <w:szCs w:val="24"/>
        </w:rPr>
      </w:pPr>
      <w:r>
        <w:rPr>
          <w:rFonts w:ascii="Tw Cen MT" w:hAnsi="Tw Cen MT"/>
          <w:sz w:val="24"/>
          <w:szCs w:val="24"/>
        </w:rPr>
        <w:t>Transcranial color c</w:t>
      </w:r>
      <w:r w:rsidR="0059127D" w:rsidRPr="0059127D">
        <w:rPr>
          <w:rFonts w:ascii="Tw Cen MT" w:hAnsi="Tw Cen MT"/>
          <w:sz w:val="24"/>
          <w:szCs w:val="24"/>
        </w:rPr>
        <w:t xml:space="preserve">oded </w:t>
      </w:r>
      <w:proofErr w:type="spellStart"/>
      <w:r>
        <w:rPr>
          <w:rFonts w:ascii="Tw Cen MT" w:hAnsi="Tw Cen MT"/>
          <w:sz w:val="24"/>
          <w:szCs w:val="24"/>
        </w:rPr>
        <w:t>s</w:t>
      </w:r>
      <w:r w:rsidRPr="0059127D">
        <w:rPr>
          <w:rFonts w:ascii="Tw Cen MT" w:hAnsi="Tw Cen MT"/>
          <w:sz w:val="24"/>
          <w:szCs w:val="24"/>
        </w:rPr>
        <w:t>onography</w:t>
      </w:r>
      <w:proofErr w:type="spellEnd"/>
      <w:r w:rsidRPr="0059127D">
        <w:rPr>
          <w:rFonts w:ascii="Tw Cen MT" w:hAnsi="Tw Cen MT" w:hint="cs"/>
          <w:sz w:val="24"/>
          <w:szCs w:val="24"/>
          <w:rtl/>
        </w:rPr>
        <w:t xml:space="preserve"> </w:t>
      </w:r>
      <w:r w:rsidRPr="0059127D">
        <w:rPr>
          <w:rFonts w:ascii="Tw Cen MT" w:hAnsi="Tw Cen MT"/>
          <w:sz w:val="24"/>
          <w:szCs w:val="24"/>
        </w:rPr>
        <w:t>of</w:t>
      </w:r>
      <w:r w:rsidR="0059127D" w:rsidRPr="0059127D">
        <w:rPr>
          <w:rFonts w:ascii="Tw Cen MT" w:hAnsi="Tw Cen MT"/>
          <w:sz w:val="24"/>
          <w:szCs w:val="24"/>
        </w:rPr>
        <w:t xml:space="preserve"> optic nerve sheath diameter (ONSD) in acute phase of intracerebral hemorrhage </w:t>
      </w:r>
    </w:p>
    <w:p w:rsidR="006161B5" w:rsidRPr="006161B5" w:rsidRDefault="006161B5" w:rsidP="006161B5">
      <w:pPr>
        <w:pStyle w:val="BodyText"/>
        <w:spacing w:before="73" w:line="198" w:lineRule="exact"/>
        <w:ind w:left="100" w:right="5987"/>
        <w:rPr>
          <w:rFonts w:ascii="Arial"/>
          <w:b/>
          <w:bCs/>
        </w:rPr>
      </w:pPr>
      <w:bookmarkStart w:id="0" w:name="_GoBack"/>
      <w:r w:rsidRPr="006161B5">
        <w:rPr>
          <w:rFonts w:ascii="Arial"/>
          <w:b/>
          <w:bCs/>
        </w:rPr>
        <w:t>Mehdi Maghbooli</w:t>
      </w:r>
      <w:bookmarkEnd w:id="0"/>
      <w:r w:rsidR="00525594">
        <w:rPr>
          <w:rFonts w:ascii="Arial"/>
          <w:b/>
          <w:bCs/>
        </w:rPr>
        <w:t xml:space="preserve"> and </w:t>
      </w:r>
      <w:r w:rsidR="0059127D">
        <w:rPr>
          <w:rFonts w:ascii="Arial"/>
          <w:b/>
          <w:bCs/>
        </w:rPr>
        <w:t xml:space="preserve">Elaheh </w:t>
      </w:r>
      <w:proofErr w:type="spellStart"/>
      <w:r w:rsidR="0059127D">
        <w:rPr>
          <w:rFonts w:ascii="Arial"/>
          <w:b/>
          <w:bCs/>
        </w:rPr>
        <w:t>Yari</w:t>
      </w:r>
      <w:proofErr w:type="spellEnd"/>
    </w:p>
    <w:p w:rsidR="005973B9" w:rsidRPr="009623AD" w:rsidRDefault="009623AD" w:rsidP="009623AD">
      <w:pPr>
        <w:pStyle w:val="BodyText"/>
        <w:spacing w:before="73" w:line="198" w:lineRule="exact"/>
        <w:ind w:left="100" w:right="5987"/>
        <w:rPr>
          <w:rFonts w:ascii="Arial"/>
        </w:rPr>
      </w:pPr>
      <w:proofErr w:type="spellStart"/>
      <w:r w:rsidRPr="009623AD">
        <w:rPr>
          <w:rFonts w:ascii="Arial"/>
        </w:rPr>
        <w:t>Zanjan</w:t>
      </w:r>
      <w:proofErr w:type="spellEnd"/>
      <w:r w:rsidRPr="009623AD">
        <w:rPr>
          <w:rFonts w:ascii="Arial"/>
        </w:rPr>
        <w:t xml:space="preserve"> Universi</w:t>
      </w:r>
      <w:r w:rsidR="00525594">
        <w:rPr>
          <w:rFonts w:ascii="Arial"/>
        </w:rPr>
        <w:t xml:space="preserve">ty of Medical Sciences, </w:t>
      </w:r>
      <w:r w:rsidRPr="009623AD">
        <w:rPr>
          <w:rFonts w:ascii="Arial"/>
        </w:rPr>
        <w:t xml:space="preserve">Iran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59127D" w:rsidRPr="0059127D" w:rsidRDefault="00A9710C" w:rsidP="0059127D">
      <w:pPr>
        <w:pStyle w:val="Heading3"/>
        <w:spacing w:before="147"/>
        <w:jc w:val="both"/>
      </w:pPr>
      <w:r>
        <w:rPr>
          <w:color w:val="BF5A14"/>
        </w:rPr>
        <w:lastRenderedPageBreak/>
        <w:t>Abstract</w:t>
      </w:r>
      <w:r w:rsidR="006161B5">
        <w:rPr>
          <w:color w:val="BF5A14"/>
        </w:rPr>
        <w:t xml:space="preserve"> </w:t>
      </w:r>
    </w:p>
    <w:p w:rsidR="0059127D" w:rsidRPr="0059127D" w:rsidRDefault="0059127D" w:rsidP="0059127D">
      <w:pPr>
        <w:pStyle w:val="Heading3"/>
        <w:spacing w:before="74"/>
        <w:jc w:val="both"/>
        <w:rPr>
          <w:b w:val="0"/>
          <w:bCs w:val="0"/>
          <w:sz w:val="18"/>
          <w:szCs w:val="18"/>
        </w:rPr>
      </w:pPr>
      <w:r w:rsidRPr="0059127D">
        <w:rPr>
          <w:b w:val="0"/>
          <w:bCs w:val="0"/>
          <w:sz w:val="18"/>
          <w:szCs w:val="18"/>
        </w:rPr>
        <w:t xml:space="preserve">Introduction: In intracranial hemorrhages (ICH), intracranial pressure (ICP) monitoring is necessary to evaluate the response to treatment and also to evaluate the prognosis. Although </w:t>
      </w:r>
      <w:proofErr w:type="gramStart"/>
      <w:r w:rsidRPr="0059127D">
        <w:rPr>
          <w:b w:val="0"/>
          <w:bCs w:val="0"/>
          <w:sz w:val="18"/>
          <w:szCs w:val="18"/>
        </w:rPr>
        <w:t>Direct</w:t>
      </w:r>
      <w:proofErr w:type="gramEnd"/>
      <w:r w:rsidRPr="0059127D">
        <w:rPr>
          <w:b w:val="0"/>
          <w:bCs w:val="0"/>
          <w:sz w:val="18"/>
          <w:szCs w:val="18"/>
        </w:rPr>
        <w:t xml:space="preserve"> estimation of ICP is reliable, Transcranial Color-Coded Sonography (TCCS) is a non-invasive and bed side technique that provides reliable and real-time information. </w:t>
      </w:r>
    </w:p>
    <w:p w:rsidR="0059127D" w:rsidRPr="0059127D" w:rsidRDefault="0059127D" w:rsidP="0059127D">
      <w:pPr>
        <w:pStyle w:val="Heading3"/>
        <w:spacing w:before="74"/>
        <w:jc w:val="both"/>
        <w:rPr>
          <w:b w:val="0"/>
          <w:bCs w:val="0"/>
          <w:sz w:val="18"/>
          <w:szCs w:val="18"/>
        </w:rPr>
      </w:pPr>
      <w:r w:rsidRPr="0059127D">
        <w:rPr>
          <w:b w:val="0"/>
          <w:bCs w:val="0"/>
          <w:sz w:val="18"/>
          <w:szCs w:val="18"/>
        </w:rPr>
        <w:t xml:space="preserve">Purpose: The aim of this study was piloting the TCCS application in acute ICH care by estimating optic nerve sheath diameter (ONSD) as an </w:t>
      </w:r>
      <w:proofErr w:type="spellStart"/>
      <w:r w:rsidRPr="0059127D">
        <w:rPr>
          <w:b w:val="0"/>
          <w:bCs w:val="0"/>
          <w:sz w:val="18"/>
          <w:szCs w:val="18"/>
        </w:rPr>
        <w:t>indice</w:t>
      </w:r>
      <w:proofErr w:type="spellEnd"/>
      <w:r w:rsidRPr="0059127D">
        <w:rPr>
          <w:b w:val="0"/>
          <w:bCs w:val="0"/>
          <w:sz w:val="18"/>
          <w:szCs w:val="18"/>
        </w:rPr>
        <w:t xml:space="preserve"> of ICP. This study aims to investigate the effect of ocular ultrasound (with ONSD evaluation) in the early diagnosis of raised ICP in patients with ICH.</w:t>
      </w:r>
    </w:p>
    <w:p w:rsidR="0059127D" w:rsidRPr="0059127D" w:rsidRDefault="0059127D" w:rsidP="0059127D">
      <w:pPr>
        <w:pStyle w:val="Heading3"/>
        <w:spacing w:before="74"/>
        <w:jc w:val="both"/>
        <w:rPr>
          <w:b w:val="0"/>
          <w:bCs w:val="0"/>
          <w:sz w:val="18"/>
          <w:szCs w:val="18"/>
        </w:rPr>
      </w:pPr>
      <w:r w:rsidRPr="0059127D">
        <w:rPr>
          <w:b w:val="0"/>
          <w:bCs w:val="0"/>
          <w:sz w:val="18"/>
          <w:szCs w:val="18"/>
        </w:rPr>
        <w:t xml:space="preserve">Methods: The present study is a hospital-based case-control study on ICH patients. ONSD was estimated using the OCULAR TCCS device at first and third day. Demographics, underlying diseases, blood pressure, Glasgow Coma Scale, bleeding volume, presence or absence of shift and prescription or nonprescription of osmotic therapy, and sodium levels were recorded. </w:t>
      </w:r>
    </w:p>
    <w:p w:rsidR="0059127D" w:rsidRPr="0059127D" w:rsidRDefault="0059127D" w:rsidP="0059127D">
      <w:pPr>
        <w:pStyle w:val="Heading3"/>
        <w:spacing w:before="74"/>
        <w:jc w:val="both"/>
        <w:rPr>
          <w:b w:val="0"/>
          <w:bCs w:val="0"/>
          <w:sz w:val="18"/>
          <w:szCs w:val="18"/>
        </w:rPr>
      </w:pPr>
      <w:r w:rsidRPr="0059127D">
        <w:rPr>
          <w:b w:val="0"/>
          <w:bCs w:val="0"/>
          <w:sz w:val="18"/>
          <w:szCs w:val="18"/>
        </w:rPr>
        <w:t>Results: Thirty patients with cerebral hemorrhage were compared with age and sex matched controls. the averages of right side ONSD, left side ONSD and the average of ONSD of both eyes on the first day in the case group was significantly higher than the control group (p&lt;0.001). ONSD of higher than 4.15 mm was 96.7% sensitive and 73.3% specific for ICH diagnosis (P&lt;0.01). There was a direct and significant relationship between ONSD and NIHSS in the case group (p&lt;0.001).</w:t>
      </w:r>
    </w:p>
    <w:p w:rsidR="0059127D" w:rsidRPr="0059127D" w:rsidRDefault="0059127D" w:rsidP="0059127D">
      <w:pPr>
        <w:pStyle w:val="Heading3"/>
        <w:spacing w:before="74"/>
        <w:jc w:val="both"/>
        <w:rPr>
          <w:b w:val="0"/>
          <w:bCs w:val="0"/>
          <w:sz w:val="18"/>
          <w:szCs w:val="18"/>
        </w:rPr>
      </w:pPr>
      <w:r w:rsidRPr="0059127D">
        <w:rPr>
          <w:b w:val="0"/>
          <w:bCs w:val="0"/>
          <w:sz w:val="18"/>
          <w:szCs w:val="18"/>
        </w:rPr>
        <w:t xml:space="preserve">Results: It is possible to use ONSD as an indirect method, especially in the follow-up of ICH patients, to evaluate ICP. Future studies are recommended to validate these results. </w:t>
      </w:r>
    </w:p>
    <w:p w:rsidR="0059127D" w:rsidRPr="0059127D" w:rsidRDefault="0059127D" w:rsidP="0059127D">
      <w:pPr>
        <w:pStyle w:val="Heading3"/>
        <w:spacing w:before="74"/>
        <w:jc w:val="both"/>
        <w:rPr>
          <w:b w:val="0"/>
          <w:bCs w:val="0"/>
          <w:sz w:val="18"/>
          <w:szCs w:val="18"/>
        </w:rPr>
      </w:pPr>
      <w:r w:rsidRPr="0059127D">
        <w:rPr>
          <w:b w:val="0"/>
          <w:bCs w:val="0"/>
          <w:sz w:val="18"/>
          <w:szCs w:val="18"/>
        </w:rPr>
        <w:t>Keywords: optic nerve sheath diameter - cerebral hemorrhage in acute phase</w:t>
      </w:r>
    </w:p>
    <w:p w:rsidR="001C2270" w:rsidRPr="006161B5" w:rsidRDefault="001C2270" w:rsidP="006161B5">
      <w:pPr>
        <w:pStyle w:val="Heading3"/>
        <w:spacing w:before="74"/>
        <w:jc w:val="both"/>
        <w:rPr>
          <w:rFonts w:ascii="Tw Cen MT" w:hAnsi="Tw Cen MT"/>
          <w:b w:val="0"/>
          <w:bCs w:val="0"/>
          <w:sz w:val="18"/>
          <w:szCs w:val="18"/>
        </w:rPr>
      </w:pPr>
    </w:p>
    <w:p w:rsidR="005973B9" w:rsidRDefault="00A9710C" w:rsidP="009623AD">
      <w:pPr>
        <w:pStyle w:val="Heading3"/>
        <w:spacing w:before="74"/>
        <w:ind w:left="0"/>
        <w:rPr>
          <w:b w:val="0"/>
          <w:color w:val="BF5A14"/>
          <w:rtl/>
        </w:rPr>
      </w:pPr>
      <w:r>
        <w:rPr>
          <w:b w:val="0"/>
        </w:rPr>
        <w:br w:type="column"/>
      </w:r>
      <w:r w:rsidR="004B03CC">
        <w:rPr>
          <w:b w:val="0"/>
          <w:color w:val="BF5A14"/>
        </w:rPr>
        <w:lastRenderedPageBreak/>
        <w:br/>
        <w:t xml:space="preserve">Recent Publications </w:t>
      </w:r>
    </w:p>
    <w:p w:rsidR="004611EC" w:rsidRDefault="004611EC" w:rsidP="004611EC">
      <w:pPr>
        <w:spacing w:line="204" w:lineRule="exact"/>
        <w:rPr>
          <w:rFonts w:ascii="Arial"/>
          <w:b/>
          <w:sz w:val="20"/>
        </w:rPr>
      </w:pPr>
    </w:p>
    <w:p w:rsidR="00441FB7" w:rsidRPr="00441FB7" w:rsidRDefault="00441FB7" w:rsidP="004D1B9B">
      <w:pPr>
        <w:pStyle w:val="ListParagraph"/>
        <w:numPr>
          <w:ilvl w:val="0"/>
          <w:numId w:val="3"/>
        </w:numPr>
        <w:spacing w:line="204" w:lineRule="exact"/>
        <w:rPr>
          <w:rFonts w:asciiTheme="minorHAnsi" w:hAnsiTheme="minorHAnsi" w:cstheme="minorHAnsi"/>
          <w:bCs/>
          <w:sz w:val="18"/>
          <w:szCs w:val="18"/>
          <w:rtl/>
        </w:rPr>
      </w:pPr>
      <w:r w:rsidRPr="00441FB7">
        <w:rPr>
          <w:rFonts w:asciiTheme="minorHAnsi" w:hAnsiTheme="minorHAnsi" w:cstheme="minorHAnsi"/>
          <w:bCs/>
          <w:sz w:val="18"/>
          <w:szCs w:val="18"/>
        </w:rPr>
        <w:t xml:space="preserve">Comparison of Herpes Simplex Virus Reactivation Frequency in Acute Idiopathic Cranial </w:t>
      </w:r>
      <w:proofErr w:type="spellStart"/>
      <w:r w:rsidRPr="00441FB7">
        <w:rPr>
          <w:rFonts w:asciiTheme="minorHAnsi" w:hAnsiTheme="minorHAnsi" w:cstheme="minorHAnsi"/>
          <w:bCs/>
          <w:sz w:val="18"/>
          <w:szCs w:val="18"/>
        </w:rPr>
        <w:t>Mononeuropathy</w:t>
      </w:r>
      <w:proofErr w:type="spellEnd"/>
      <w:r w:rsidRPr="00441FB7">
        <w:rPr>
          <w:rFonts w:asciiTheme="minorHAnsi" w:hAnsiTheme="minorHAnsi" w:cstheme="minorHAnsi"/>
          <w:bCs/>
          <w:sz w:val="18"/>
          <w:szCs w:val="18"/>
        </w:rPr>
        <w:t xml:space="preserve"> and Normal Population by Serological Assay</w:t>
      </w:r>
      <w:r w:rsidRPr="00441FB7">
        <w:rPr>
          <w:rFonts w:asciiTheme="minorHAnsi" w:hAnsiTheme="minorHAnsi" w:cstheme="minorHAnsi"/>
          <w:bCs/>
          <w:sz w:val="18"/>
          <w:szCs w:val="18"/>
        </w:rPr>
        <w:tab/>
        <w:t>Arch Clin Infect Dis. 2022 October Vol 17 ;Issue 5</w:t>
      </w:r>
    </w:p>
    <w:p w:rsidR="005973B9" w:rsidRDefault="004611EC" w:rsidP="00441FB7">
      <w:pPr>
        <w:pStyle w:val="ListParagraph"/>
        <w:numPr>
          <w:ilvl w:val="0"/>
          <w:numId w:val="3"/>
        </w:numPr>
        <w:tabs>
          <w:tab w:val="left" w:pos="384"/>
        </w:tabs>
        <w:spacing w:before="103" w:line="216" w:lineRule="exact"/>
        <w:ind w:right="138"/>
        <w:rPr>
          <w:sz w:val="18"/>
        </w:rPr>
      </w:pPr>
      <w:r w:rsidRPr="004611EC">
        <w:rPr>
          <w:sz w:val="18"/>
        </w:rPr>
        <w:t xml:space="preserve">Refractory Convulsive Status </w:t>
      </w:r>
      <w:proofErr w:type="spellStart"/>
      <w:r w:rsidRPr="004611EC">
        <w:rPr>
          <w:sz w:val="18"/>
        </w:rPr>
        <w:t>Epilepticus</w:t>
      </w:r>
      <w:proofErr w:type="spellEnd"/>
      <w:r w:rsidRPr="004611EC">
        <w:rPr>
          <w:sz w:val="18"/>
        </w:rPr>
        <w:t xml:space="preserve"> Provoked by Intoxication with </w:t>
      </w:r>
      <w:proofErr w:type="spellStart"/>
      <w:r w:rsidRPr="004611EC">
        <w:rPr>
          <w:sz w:val="18"/>
        </w:rPr>
        <w:t>Dalfampridine</w:t>
      </w:r>
      <w:proofErr w:type="spellEnd"/>
      <w:r w:rsidRPr="004611EC">
        <w:rPr>
          <w:sz w:val="18"/>
        </w:rPr>
        <w:t xml:space="preserve"> in a Patient with Multiple Sclerosis and Depression Disorder: A Case Report and Literature Review.</w:t>
      </w:r>
      <w:r w:rsidRPr="004611EC">
        <w:rPr>
          <w:sz w:val="18"/>
        </w:rPr>
        <w:tab/>
      </w:r>
      <w:proofErr w:type="spellStart"/>
      <w:r w:rsidRPr="004611EC">
        <w:rPr>
          <w:sz w:val="18"/>
        </w:rPr>
        <w:t>Acta</w:t>
      </w:r>
      <w:proofErr w:type="spellEnd"/>
      <w:r w:rsidRPr="004611EC">
        <w:rPr>
          <w:sz w:val="18"/>
        </w:rPr>
        <w:t xml:space="preserve"> </w:t>
      </w:r>
      <w:proofErr w:type="spellStart"/>
      <w:r w:rsidRPr="004611EC">
        <w:rPr>
          <w:sz w:val="18"/>
        </w:rPr>
        <w:t>Neurolo</w:t>
      </w:r>
      <w:r w:rsidR="00441FB7">
        <w:rPr>
          <w:sz w:val="18"/>
        </w:rPr>
        <w:t>gica</w:t>
      </w:r>
      <w:proofErr w:type="spellEnd"/>
      <w:r w:rsidR="00441FB7">
        <w:rPr>
          <w:sz w:val="18"/>
        </w:rPr>
        <w:t xml:space="preserve"> </w:t>
      </w:r>
      <w:proofErr w:type="spellStart"/>
      <w:r w:rsidR="00441FB7">
        <w:rPr>
          <w:sz w:val="18"/>
        </w:rPr>
        <w:t>Taiwanica</w:t>
      </w:r>
      <w:proofErr w:type="spellEnd"/>
      <w:r w:rsidR="00441FB7">
        <w:rPr>
          <w:sz w:val="18"/>
        </w:rPr>
        <w:t>, 32(1):37-41</w:t>
      </w:r>
    </w:p>
    <w:p w:rsidR="004611EC" w:rsidRPr="004611EC" w:rsidRDefault="004611EC" w:rsidP="00441FB7">
      <w:pPr>
        <w:pStyle w:val="ListParagraph"/>
        <w:numPr>
          <w:ilvl w:val="0"/>
          <w:numId w:val="3"/>
        </w:numPr>
        <w:tabs>
          <w:tab w:val="left" w:pos="384"/>
        </w:tabs>
        <w:spacing w:line="216" w:lineRule="exact"/>
        <w:ind w:right="137"/>
        <w:rPr>
          <w:sz w:val="18"/>
        </w:rPr>
      </w:pPr>
      <w:r w:rsidRPr="004611EC">
        <w:rPr>
          <w:sz w:val="18"/>
        </w:rPr>
        <w:t xml:space="preserve">Effect of add-on melatonin on seizure outcomes and quality of sleep in </w:t>
      </w:r>
      <w:proofErr w:type="spellStart"/>
      <w:r w:rsidRPr="004611EC">
        <w:rPr>
          <w:sz w:val="18"/>
        </w:rPr>
        <w:t>epilepsywith</w:t>
      </w:r>
      <w:proofErr w:type="spellEnd"/>
      <w:r w:rsidRPr="004611EC">
        <w:rPr>
          <w:sz w:val="18"/>
        </w:rPr>
        <w:t xml:space="preserve"> idiopathic generalized tonic-</w:t>
      </w:r>
      <w:proofErr w:type="spellStart"/>
      <w:r w:rsidRPr="004611EC">
        <w:rPr>
          <w:sz w:val="18"/>
        </w:rPr>
        <w:t>clonic</w:t>
      </w:r>
      <w:proofErr w:type="spellEnd"/>
      <w:r w:rsidRPr="004611EC">
        <w:rPr>
          <w:rFonts w:hint="cs"/>
          <w:sz w:val="18"/>
          <w:rtl/>
        </w:rPr>
        <w:t xml:space="preserve"> </w:t>
      </w:r>
      <w:r w:rsidRPr="004611EC">
        <w:rPr>
          <w:sz w:val="18"/>
        </w:rPr>
        <w:t xml:space="preserve">seizures alone in adult patients: Cross-sectional, </w:t>
      </w:r>
      <w:proofErr w:type="spellStart"/>
      <w:r w:rsidRPr="004611EC">
        <w:rPr>
          <w:sz w:val="18"/>
        </w:rPr>
        <w:t>randomized,double</w:t>
      </w:r>
      <w:proofErr w:type="spellEnd"/>
      <w:r w:rsidRPr="004611EC">
        <w:rPr>
          <w:sz w:val="18"/>
        </w:rPr>
        <w:t xml:space="preserve">-blind, placebo-controlled clinical </w:t>
      </w:r>
      <w:proofErr w:type="spellStart"/>
      <w:r w:rsidRPr="004611EC">
        <w:rPr>
          <w:sz w:val="18"/>
        </w:rPr>
        <w:t>trial</w:t>
      </w:r>
      <w:r w:rsidR="00441FB7">
        <w:rPr>
          <w:sz w:val="18"/>
        </w:rPr>
        <w:t>;</w:t>
      </w:r>
      <w:r w:rsidRPr="004611EC">
        <w:rPr>
          <w:sz w:val="18"/>
        </w:rPr>
        <w:t>Brain</w:t>
      </w:r>
      <w:proofErr w:type="spellEnd"/>
      <w:r w:rsidRPr="004611EC">
        <w:rPr>
          <w:sz w:val="18"/>
        </w:rPr>
        <w:t xml:space="preserve"> and Behavior</w:t>
      </w:r>
    </w:p>
    <w:p w:rsidR="005973B9" w:rsidRPr="004611EC" w:rsidRDefault="004611EC" w:rsidP="00441FB7">
      <w:pPr>
        <w:pStyle w:val="ListParagraph"/>
        <w:numPr>
          <w:ilvl w:val="0"/>
          <w:numId w:val="3"/>
        </w:numPr>
        <w:tabs>
          <w:tab w:val="left" w:pos="384"/>
        </w:tabs>
        <w:spacing w:line="216" w:lineRule="exact"/>
        <w:ind w:right="137"/>
        <w:rPr>
          <w:sz w:val="18"/>
        </w:rPr>
      </w:pPr>
      <w:r w:rsidRPr="004611EC">
        <w:rPr>
          <w:sz w:val="18"/>
        </w:rPr>
        <w:t xml:space="preserve">Is There Any Relation between Serum Levels of Interleukin-10 and Neurophysiological Abnormalities in </w:t>
      </w:r>
      <w:proofErr w:type="gramStart"/>
      <w:r w:rsidRPr="004611EC">
        <w:rPr>
          <w:sz w:val="18"/>
        </w:rPr>
        <w:t>Bell’s Palsy</w:t>
      </w:r>
      <w:proofErr w:type="gramEnd"/>
      <w:r w:rsidRPr="004611EC">
        <w:rPr>
          <w:sz w:val="18"/>
        </w:rPr>
        <w:t>?</w:t>
      </w:r>
      <w:r w:rsidRPr="004611EC">
        <w:rPr>
          <w:sz w:val="18"/>
        </w:rPr>
        <w:tab/>
      </w:r>
      <w:proofErr w:type="spellStart"/>
      <w:r w:rsidRPr="004611EC">
        <w:rPr>
          <w:sz w:val="18"/>
        </w:rPr>
        <w:t>Acta</w:t>
      </w:r>
      <w:proofErr w:type="spellEnd"/>
      <w:r w:rsidRPr="004611EC">
        <w:rPr>
          <w:sz w:val="18"/>
        </w:rPr>
        <w:t xml:space="preserve"> </w:t>
      </w:r>
      <w:proofErr w:type="spellStart"/>
      <w:r w:rsidRPr="004611EC">
        <w:rPr>
          <w:sz w:val="18"/>
        </w:rPr>
        <w:t>Medica</w:t>
      </w:r>
      <w:proofErr w:type="spellEnd"/>
      <w:r w:rsidRPr="004611EC">
        <w:rPr>
          <w:sz w:val="18"/>
        </w:rPr>
        <w:t xml:space="preserve"> </w:t>
      </w:r>
      <w:proofErr w:type="spellStart"/>
      <w:r w:rsidRPr="004611EC">
        <w:rPr>
          <w:sz w:val="18"/>
        </w:rPr>
        <w:t>Lituanica</w:t>
      </w:r>
      <w:proofErr w:type="spellEnd"/>
      <w:r w:rsidRPr="004611EC">
        <w:rPr>
          <w:sz w:val="18"/>
        </w:rPr>
        <w:t>. 2021. Vol. 28. No 2, pp. 262–271</w:t>
      </w:r>
    </w:p>
    <w:p w:rsidR="005973B9" w:rsidRPr="00441FB7" w:rsidRDefault="004611EC" w:rsidP="00441FB7">
      <w:pPr>
        <w:pStyle w:val="ListParagraph"/>
        <w:numPr>
          <w:ilvl w:val="0"/>
          <w:numId w:val="3"/>
        </w:numPr>
        <w:tabs>
          <w:tab w:val="left" w:pos="384"/>
        </w:tabs>
        <w:spacing w:line="216" w:lineRule="exact"/>
        <w:ind w:right="138"/>
        <w:rPr>
          <w:sz w:val="18"/>
        </w:rPr>
      </w:pPr>
      <w:r w:rsidRPr="00441FB7">
        <w:rPr>
          <w:sz w:val="18"/>
        </w:rPr>
        <w:t>The prevalence of metabolic syndrome parameters and their</w:t>
      </w:r>
      <w:r w:rsidR="00441FB7" w:rsidRPr="00441FB7">
        <w:rPr>
          <w:sz w:val="18"/>
        </w:rPr>
        <w:t xml:space="preserve"> </w:t>
      </w:r>
      <w:r w:rsidRPr="00441FB7">
        <w:rPr>
          <w:sz w:val="18"/>
        </w:rPr>
        <w:t>association with headache characteristics among migraineurs</w:t>
      </w:r>
      <w:r w:rsidRPr="00441FB7">
        <w:rPr>
          <w:sz w:val="18"/>
        </w:rPr>
        <w:tab/>
        <w:t>Current Journal of Neurology 2021; 20(4): 190-201</w:t>
      </w:r>
    </w:p>
    <w:p w:rsidR="004611EC" w:rsidRPr="004611EC" w:rsidRDefault="004611EC" w:rsidP="00FB76B2">
      <w:pPr>
        <w:pStyle w:val="ListParagraph"/>
        <w:numPr>
          <w:ilvl w:val="0"/>
          <w:numId w:val="3"/>
        </w:numPr>
        <w:tabs>
          <w:tab w:val="left" w:pos="384"/>
        </w:tabs>
        <w:spacing w:before="92" w:line="218" w:lineRule="exact"/>
        <w:rPr>
          <w:sz w:val="18"/>
        </w:rPr>
      </w:pPr>
      <w:r w:rsidRPr="004611EC">
        <w:rPr>
          <w:sz w:val="18"/>
        </w:rPr>
        <w:t xml:space="preserve">Interrelation between INF-γ levels and severity of </w:t>
      </w:r>
      <w:proofErr w:type="spellStart"/>
      <w:r w:rsidRPr="004611EC">
        <w:rPr>
          <w:sz w:val="18"/>
        </w:rPr>
        <w:t>electrodiagnostic</w:t>
      </w:r>
      <w:proofErr w:type="spellEnd"/>
      <w:r w:rsidRPr="004611EC">
        <w:rPr>
          <w:sz w:val="18"/>
        </w:rPr>
        <w:t xml:space="preserve"> abnormality in acute phase of Bell</w:t>
      </w:r>
      <w:r w:rsidRPr="004611EC">
        <w:rPr>
          <w:rFonts w:ascii="Tw Cen MT" w:hAnsi="Tw Cen MT" w:cs="Tw Cen MT"/>
          <w:sz w:val="18"/>
        </w:rPr>
        <w:t>’</w:t>
      </w:r>
      <w:r w:rsidRPr="004611EC">
        <w:rPr>
          <w:sz w:val="18"/>
        </w:rPr>
        <w:t>s palsy</w:t>
      </w:r>
      <w:r w:rsidRPr="004611EC">
        <w:rPr>
          <w:sz w:val="18"/>
        </w:rPr>
        <w:tab/>
      </w:r>
      <w:proofErr w:type="spellStart"/>
      <w:r w:rsidRPr="004611EC">
        <w:rPr>
          <w:sz w:val="18"/>
        </w:rPr>
        <w:t>Neurolog</w:t>
      </w:r>
      <w:r w:rsidRPr="004611EC">
        <w:rPr>
          <w:rFonts w:ascii="Tw Cen MT" w:hAnsi="Tw Cen MT" w:cs="Tw Cen MT"/>
          <w:sz w:val="18"/>
        </w:rPr>
        <w:t>í</w:t>
      </w:r>
      <w:r w:rsidRPr="004611EC">
        <w:rPr>
          <w:sz w:val="18"/>
        </w:rPr>
        <w:t>a</w:t>
      </w:r>
      <w:proofErr w:type="spellEnd"/>
      <w:r w:rsidRPr="004611EC">
        <w:rPr>
          <w:sz w:val="18"/>
        </w:rPr>
        <w:t xml:space="preserve"> Argentina;2 0 2 2;1 4(3):147–154</w:t>
      </w:r>
    </w:p>
    <w:p w:rsidR="004611EC" w:rsidRDefault="004611EC" w:rsidP="0078083F">
      <w:pPr>
        <w:pStyle w:val="ListParagraph"/>
        <w:numPr>
          <w:ilvl w:val="0"/>
          <w:numId w:val="3"/>
        </w:numPr>
        <w:tabs>
          <w:tab w:val="left" w:pos="384"/>
        </w:tabs>
        <w:spacing w:before="92" w:line="218" w:lineRule="exact"/>
        <w:rPr>
          <w:sz w:val="18"/>
        </w:rPr>
      </w:pPr>
      <w:r w:rsidRPr="004611EC">
        <w:rPr>
          <w:sz w:val="18"/>
        </w:rPr>
        <w:t>Effectiveness of Selenium Supplement on Cognitive Function in Patients with Epilepsy</w:t>
      </w:r>
      <w:r w:rsidRPr="004611EC">
        <w:rPr>
          <w:sz w:val="18"/>
        </w:rPr>
        <w:tab/>
        <w:t xml:space="preserve">NEUROPSYCHIATRIC </w:t>
      </w:r>
      <w:r w:rsidR="00441FB7">
        <w:rPr>
          <w:sz w:val="18"/>
        </w:rPr>
        <w:t xml:space="preserve"> </w:t>
      </w:r>
      <w:r w:rsidRPr="004611EC">
        <w:rPr>
          <w:sz w:val="18"/>
        </w:rPr>
        <w:t>INVESTIGATION;</w:t>
      </w:r>
      <w:r w:rsidR="00441FB7">
        <w:rPr>
          <w:sz w:val="18"/>
        </w:rPr>
        <w:t xml:space="preserve"> </w:t>
      </w:r>
      <w:r w:rsidRPr="004611EC">
        <w:rPr>
          <w:sz w:val="18"/>
        </w:rPr>
        <w:t>Volume 60 • Issue 2 • June 2022;: 38-41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525594" w:rsidRDefault="008756E6" w:rsidP="00404E5B">
      <w:pPr>
        <w:spacing w:before="92"/>
        <w:ind w:right="4234"/>
        <w:rPr>
          <w:noProof/>
          <w:lang w:val="en-IN" w:eastAsia="en-IN"/>
        </w:rPr>
      </w:pPr>
      <w:r>
        <w:rPr>
          <w:noProof/>
        </w:rPr>
        <w:t xml:space="preserve">              </w:t>
      </w:r>
    </w:p>
    <w:p w:rsidR="00941FC7" w:rsidRDefault="00941FC7" w:rsidP="00404E5B">
      <w:pPr>
        <w:spacing w:before="92"/>
        <w:ind w:right="4234"/>
        <w:rPr>
          <w:noProof/>
        </w:rPr>
      </w:pPr>
    </w:p>
    <w:p w:rsidR="00AE3E37" w:rsidRPr="00525594" w:rsidRDefault="00A9710C" w:rsidP="00404E5B">
      <w:pPr>
        <w:spacing w:before="92"/>
        <w:ind w:right="4234"/>
        <w:rPr>
          <w:sz w:val="24"/>
          <w:szCs w:val="24"/>
        </w:rPr>
      </w:pPr>
      <w:r w:rsidRPr="00525594">
        <w:rPr>
          <w:color w:val="BF5A14"/>
          <w:sz w:val="24"/>
          <w:szCs w:val="24"/>
        </w:rPr>
        <w:t>Biography</w:t>
      </w:r>
      <w:r w:rsidR="00941FC7" w:rsidRPr="00525594">
        <w:rPr>
          <w:color w:val="BF5A14"/>
          <w:sz w:val="24"/>
          <w:szCs w:val="24"/>
        </w:rPr>
        <w:t xml:space="preserve"> </w:t>
      </w:r>
    </w:p>
    <w:p w:rsidR="00941FC7" w:rsidRPr="00525594" w:rsidRDefault="00941FC7" w:rsidP="00941FC7">
      <w:pPr>
        <w:autoSpaceDE w:val="0"/>
        <w:autoSpaceDN w:val="0"/>
        <w:adjustRightInd w:val="0"/>
        <w:jc w:val="both"/>
        <w:rPr>
          <w:rFonts w:eastAsiaTheme="minorEastAsia" w:cstheme="minorHAnsi"/>
          <w:sz w:val="24"/>
          <w:szCs w:val="24"/>
        </w:rPr>
      </w:pPr>
      <w:r w:rsidRPr="00525594">
        <w:rPr>
          <w:rFonts w:eastAsiaTheme="minorEastAsia" w:cstheme="minorHAnsi"/>
          <w:sz w:val="24"/>
          <w:szCs w:val="24"/>
        </w:rPr>
        <w:t xml:space="preserve">Mehdi Maghbooli studied neurology at the Tehran University of Medical </w:t>
      </w:r>
      <w:r w:rsidR="00525594" w:rsidRPr="00525594">
        <w:rPr>
          <w:rFonts w:eastAsiaTheme="minorEastAsia" w:cstheme="minorHAnsi"/>
          <w:sz w:val="24"/>
          <w:szCs w:val="24"/>
        </w:rPr>
        <w:t>Sciences, Iran</w:t>
      </w:r>
      <w:r w:rsidRPr="00525594">
        <w:rPr>
          <w:rFonts w:eastAsiaTheme="minorEastAsia" w:cstheme="minorHAnsi"/>
          <w:sz w:val="24"/>
          <w:szCs w:val="24"/>
        </w:rPr>
        <w:t xml:space="preserve"> and graduated as MD.PHD in 2006.He then joined the </w:t>
      </w:r>
      <w:proofErr w:type="spellStart"/>
      <w:r w:rsidRPr="00525594">
        <w:rPr>
          <w:rFonts w:eastAsiaTheme="minorEastAsia" w:cstheme="minorHAnsi"/>
          <w:sz w:val="24"/>
          <w:szCs w:val="24"/>
        </w:rPr>
        <w:t>Zanjan</w:t>
      </w:r>
      <w:proofErr w:type="spellEnd"/>
      <w:r w:rsidRPr="00525594">
        <w:rPr>
          <w:rFonts w:eastAsiaTheme="minorEastAsia" w:cstheme="minorHAnsi"/>
          <w:sz w:val="24"/>
          <w:szCs w:val="24"/>
        </w:rPr>
        <w:t xml:space="preserve"> faculty of Medicine. He obtained the position of an Associate Professor in 2016 at the same institution. He has published more than 35 research articles.</w:t>
      </w:r>
    </w:p>
    <w:p w:rsidR="00EA7D51" w:rsidRPr="00525594" w:rsidRDefault="00EA7D51" w:rsidP="0059127D">
      <w:pPr>
        <w:spacing w:before="39"/>
        <w:rPr>
          <w:rFonts w:ascii="Minion Pro"/>
          <w:b/>
          <w:sz w:val="24"/>
          <w:szCs w:val="24"/>
        </w:rPr>
      </w:pPr>
    </w:p>
    <w:p w:rsidR="00EA7D51" w:rsidRDefault="00EA7D51" w:rsidP="000534A1">
      <w:pPr>
        <w:spacing w:before="39"/>
        <w:ind w:left="100"/>
        <w:rPr>
          <w:rFonts w:ascii="Minion Pro"/>
          <w:b/>
          <w:sz w:val="20"/>
        </w:rPr>
      </w:pP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44F" w:rsidRDefault="000D744F">
      <w:r>
        <w:separator/>
      </w:r>
    </w:p>
  </w:endnote>
  <w:endnote w:type="continuationSeparator" w:id="0">
    <w:p w:rsidR="000D744F" w:rsidRDefault="000D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44F" w:rsidRDefault="000D744F">
      <w:r>
        <w:separator/>
      </w:r>
    </w:p>
  </w:footnote>
  <w:footnote w:type="continuationSeparator" w:id="0">
    <w:p w:rsidR="000D744F" w:rsidRDefault="000D7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744F"/>
    <w:rsid w:val="000E2911"/>
    <w:rsid w:val="001263DF"/>
    <w:rsid w:val="001C2270"/>
    <w:rsid w:val="00292ED9"/>
    <w:rsid w:val="00351D9B"/>
    <w:rsid w:val="00380299"/>
    <w:rsid w:val="003C2821"/>
    <w:rsid w:val="00404E5B"/>
    <w:rsid w:val="00414F7B"/>
    <w:rsid w:val="004355DC"/>
    <w:rsid w:val="00441FB7"/>
    <w:rsid w:val="004611EC"/>
    <w:rsid w:val="004618A4"/>
    <w:rsid w:val="004749B4"/>
    <w:rsid w:val="00475D20"/>
    <w:rsid w:val="00494130"/>
    <w:rsid w:val="004B03CC"/>
    <w:rsid w:val="004F3523"/>
    <w:rsid w:val="004F7140"/>
    <w:rsid w:val="00525594"/>
    <w:rsid w:val="00590D60"/>
    <w:rsid w:val="0059127D"/>
    <w:rsid w:val="005973B9"/>
    <w:rsid w:val="005B3A56"/>
    <w:rsid w:val="006060CE"/>
    <w:rsid w:val="0061505C"/>
    <w:rsid w:val="006161B5"/>
    <w:rsid w:val="0063497F"/>
    <w:rsid w:val="00663147"/>
    <w:rsid w:val="00712272"/>
    <w:rsid w:val="00714354"/>
    <w:rsid w:val="00873DF0"/>
    <w:rsid w:val="008756E6"/>
    <w:rsid w:val="00897EC5"/>
    <w:rsid w:val="008A0763"/>
    <w:rsid w:val="008E5477"/>
    <w:rsid w:val="00941FC7"/>
    <w:rsid w:val="009623AD"/>
    <w:rsid w:val="009B2D44"/>
    <w:rsid w:val="00A07E82"/>
    <w:rsid w:val="00A52075"/>
    <w:rsid w:val="00A9710C"/>
    <w:rsid w:val="00AE3E37"/>
    <w:rsid w:val="00B21A57"/>
    <w:rsid w:val="00BE6743"/>
    <w:rsid w:val="00C33602"/>
    <w:rsid w:val="00C56C74"/>
    <w:rsid w:val="00C613AC"/>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2023-02-28T09:40:00Z</dcterms:created>
  <dcterms:modified xsi:type="dcterms:W3CDTF">2023-02-28T09:40:00Z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