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F98426" w14:textId="77777777" w:rsidR="00356EC2" w:rsidRDefault="00356EC2" w:rsidP="00356EC2">
      <w:pPr>
        <w:jc w:val="center"/>
        <w:rPr>
          <w:rFonts w:asciiTheme="minorBidi" w:hAnsiTheme="minorBidi"/>
          <w:b/>
          <w:bCs/>
          <w:sz w:val="28"/>
          <w:szCs w:val="28"/>
        </w:rPr>
      </w:pPr>
      <w:r w:rsidRPr="006112DC">
        <w:rPr>
          <w:rFonts w:asciiTheme="minorBidi" w:hAnsiTheme="minorBidi"/>
          <w:b/>
          <w:bCs/>
          <w:sz w:val="28"/>
          <w:szCs w:val="28"/>
        </w:rPr>
        <w:t>THE ENDOSCOPIC COMBO TE</w:t>
      </w:r>
      <w:r>
        <w:rPr>
          <w:rFonts w:asciiTheme="minorBidi" w:hAnsiTheme="minorBidi"/>
          <w:b/>
          <w:bCs/>
          <w:sz w:val="28"/>
          <w:szCs w:val="28"/>
        </w:rPr>
        <w:t xml:space="preserve">CHNIQUE: Long-term outcomes in treating patients with primary achalasia </w:t>
      </w:r>
    </w:p>
    <w:p w14:paraId="084F7395" w14:textId="77777777" w:rsidR="00356EC2" w:rsidRDefault="00356EC2" w:rsidP="00356EC2">
      <w:pPr>
        <w:jc w:val="center"/>
        <w:rPr>
          <w:rFonts w:asciiTheme="minorBidi" w:hAnsiTheme="minorBidi"/>
          <w:b/>
          <w:bCs/>
          <w:sz w:val="28"/>
          <w:szCs w:val="28"/>
          <w:vertAlign w:val="superscript"/>
        </w:rPr>
      </w:pPr>
      <w:r>
        <w:rPr>
          <w:rFonts w:asciiTheme="minorBidi" w:hAnsiTheme="minorBidi"/>
          <w:b/>
          <w:bCs/>
          <w:sz w:val="28"/>
          <w:szCs w:val="28"/>
        </w:rPr>
        <w:t>Bedewy E</w:t>
      </w:r>
      <w:r>
        <w:rPr>
          <w:rFonts w:asciiTheme="minorBidi" w:hAnsiTheme="minorBidi"/>
          <w:b/>
          <w:bCs/>
          <w:sz w:val="28"/>
          <w:szCs w:val="28"/>
          <w:vertAlign w:val="superscript"/>
        </w:rPr>
        <w:t xml:space="preserve"> 1</w:t>
      </w:r>
      <w:r>
        <w:rPr>
          <w:rFonts w:asciiTheme="minorBidi" w:hAnsiTheme="minorBidi"/>
          <w:b/>
          <w:bCs/>
          <w:sz w:val="28"/>
          <w:szCs w:val="28"/>
        </w:rPr>
        <w:t xml:space="preserve">, El </w:t>
      </w:r>
      <w:proofErr w:type="spellStart"/>
      <w:r>
        <w:rPr>
          <w:rFonts w:asciiTheme="minorBidi" w:hAnsiTheme="minorBidi"/>
          <w:b/>
          <w:bCs/>
          <w:sz w:val="28"/>
          <w:szCs w:val="28"/>
        </w:rPr>
        <w:t>Gendi</w:t>
      </w:r>
      <w:proofErr w:type="spellEnd"/>
      <w:r>
        <w:rPr>
          <w:rFonts w:asciiTheme="minorBidi" w:hAnsiTheme="minorBidi"/>
          <w:b/>
          <w:bCs/>
          <w:sz w:val="28"/>
          <w:szCs w:val="28"/>
        </w:rPr>
        <w:t xml:space="preserve"> A</w:t>
      </w:r>
      <w:r>
        <w:rPr>
          <w:rFonts w:asciiTheme="minorBidi" w:hAnsiTheme="minorBidi"/>
          <w:b/>
          <w:bCs/>
          <w:sz w:val="28"/>
          <w:szCs w:val="28"/>
          <w:vertAlign w:val="superscript"/>
        </w:rPr>
        <w:t xml:space="preserve"> 2</w:t>
      </w:r>
      <w:r>
        <w:rPr>
          <w:rFonts w:asciiTheme="minorBidi" w:hAnsiTheme="minorBidi"/>
          <w:b/>
          <w:bCs/>
          <w:sz w:val="28"/>
          <w:szCs w:val="28"/>
        </w:rPr>
        <w:t xml:space="preserve">, </w:t>
      </w:r>
      <w:proofErr w:type="spellStart"/>
      <w:r>
        <w:rPr>
          <w:rFonts w:asciiTheme="minorBidi" w:hAnsiTheme="minorBidi"/>
          <w:b/>
          <w:bCs/>
          <w:sz w:val="28"/>
          <w:szCs w:val="28"/>
        </w:rPr>
        <w:t>Kamel</w:t>
      </w:r>
      <w:proofErr w:type="spellEnd"/>
      <w:r>
        <w:rPr>
          <w:rFonts w:asciiTheme="minorBidi" w:hAnsiTheme="minorBidi"/>
          <w:b/>
          <w:bCs/>
          <w:sz w:val="28"/>
          <w:szCs w:val="28"/>
        </w:rPr>
        <w:t xml:space="preserve"> M</w:t>
      </w:r>
      <w:r>
        <w:rPr>
          <w:rFonts w:asciiTheme="minorBidi" w:hAnsiTheme="minorBidi"/>
          <w:b/>
          <w:bCs/>
          <w:sz w:val="28"/>
          <w:szCs w:val="28"/>
          <w:vertAlign w:val="superscript"/>
        </w:rPr>
        <w:t xml:space="preserve"> 3</w:t>
      </w:r>
    </w:p>
    <w:p w14:paraId="6B11E36F" w14:textId="77777777" w:rsidR="00356EC2" w:rsidRPr="000439D2" w:rsidRDefault="00356EC2" w:rsidP="00356EC2">
      <w:pPr>
        <w:jc w:val="center"/>
        <w:rPr>
          <w:rFonts w:asciiTheme="minorBidi" w:hAnsiTheme="minorBidi"/>
          <w:bCs/>
          <w:sz w:val="24"/>
          <w:szCs w:val="24"/>
        </w:rPr>
      </w:pPr>
      <w:r w:rsidRPr="000439D2">
        <w:rPr>
          <w:rFonts w:asciiTheme="minorBidi" w:hAnsiTheme="minorBidi"/>
          <w:bCs/>
          <w:sz w:val="24"/>
          <w:szCs w:val="24"/>
          <w:vertAlign w:val="superscript"/>
        </w:rPr>
        <w:t xml:space="preserve">1 </w:t>
      </w:r>
      <w:r w:rsidRPr="000439D2">
        <w:rPr>
          <w:rFonts w:asciiTheme="minorBidi" w:hAnsiTheme="minorBidi"/>
          <w:bCs/>
          <w:sz w:val="24"/>
          <w:szCs w:val="24"/>
        </w:rPr>
        <w:t xml:space="preserve">Tropical medicine Department, Faculty of Medicine, Alexandria University, Egypt, </w:t>
      </w:r>
      <w:r w:rsidRPr="000439D2">
        <w:rPr>
          <w:rFonts w:asciiTheme="minorBidi" w:hAnsiTheme="minorBidi"/>
          <w:bCs/>
          <w:sz w:val="24"/>
          <w:szCs w:val="24"/>
          <w:vertAlign w:val="superscript"/>
        </w:rPr>
        <w:t xml:space="preserve">2 </w:t>
      </w:r>
      <w:r w:rsidRPr="000439D2">
        <w:rPr>
          <w:rFonts w:asciiTheme="minorBidi" w:hAnsiTheme="minorBidi"/>
          <w:bCs/>
          <w:sz w:val="24"/>
          <w:szCs w:val="24"/>
        </w:rPr>
        <w:t xml:space="preserve">General surgery Department, Faculty of Medicine, Alexandria University, Egypt, </w:t>
      </w:r>
      <w:r>
        <w:rPr>
          <w:rFonts w:asciiTheme="minorBidi" w:hAnsiTheme="minorBidi"/>
          <w:bCs/>
          <w:sz w:val="24"/>
          <w:szCs w:val="24"/>
          <w:vertAlign w:val="superscript"/>
        </w:rPr>
        <w:t xml:space="preserve">3 </w:t>
      </w:r>
      <w:r w:rsidRPr="000439D2">
        <w:rPr>
          <w:rFonts w:asciiTheme="minorBidi" w:hAnsiTheme="minorBidi"/>
          <w:bCs/>
          <w:sz w:val="24"/>
          <w:szCs w:val="24"/>
        </w:rPr>
        <w:t>General surgery department, Medical Research Institute, Alexandria University, Egypt</w:t>
      </w:r>
    </w:p>
    <w:p w14:paraId="284EFE08" w14:textId="77777777" w:rsidR="00356EC2" w:rsidRPr="00C65382" w:rsidRDefault="00356EC2" w:rsidP="00356EC2">
      <w:pPr>
        <w:spacing w:before="120" w:after="0" w:line="240" w:lineRule="auto"/>
        <w:jc w:val="both"/>
        <w:rPr>
          <w:rFonts w:ascii="Arial" w:hAnsi="Arial"/>
          <w:b/>
        </w:rPr>
      </w:pPr>
      <w:r w:rsidRPr="00C65382">
        <w:rPr>
          <w:rFonts w:ascii="Arial" w:hAnsi="Arial"/>
          <w:b/>
        </w:rPr>
        <w:t xml:space="preserve">Department(s) and institution(s) </w:t>
      </w:r>
    </w:p>
    <w:p w14:paraId="7974312D" w14:textId="77777777" w:rsidR="00356EC2" w:rsidRPr="00C65382" w:rsidRDefault="00356EC2" w:rsidP="00356EC2">
      <w:pPr>
        <w:spacing w:before="120" w:after="0" w:line="240" w:lineRule="auto"/>
        <w:ind w:firstLine="567"/>
        <w:jc w:val="both"/>
        <w:rPr>
          <w:rFonts w:ascii="Arial" w:hAnsi="Arial"/>
          <w:rtl/>
        </w:rPr>
      </w:pPr>
      <w:r>
        <w:rPr>
          <w:rFonts w:ascii="Arial" w:hAnsi="Arial"/>
          <w:vertAlign w:val="superscript"/>
        </w:rPr>
        <w:t xml:space="preserve">1 </w:t>
      </w:r>
      <w:r w:rsidRPr="00C65382">
        <w:rPr>
          <w:rFonts w:ascii="Arial" w:hAnsi="Arial"/>
        </w:rPr>
        <w:t xml:space="preserve">Tropical Medicine Department, Faculty of Medicine, Alexandria University, </w:t>
      </w:r>
      <w:r>
        <w:rPr>
          <w:rFonts w:ascii="Arial" w:hAnsi="Arial"/>
        </w:rPr>
        <w:t xml:space="preserve">Egypt; </w:t>
      </w:r>
      <w:r>
        <w:rPr>
          <w:rFonts w:ascii="Arial" w:hAnsi="Arial"/>
          <w:vertAlign w:val="superscript"/>
        </w:rPr>
        <w:t xml:space="preserve">2 </w:t>
      </w:r>
      <w:r w:rsidRPr="00C65382">
        <w:rPr>
          <w:rFonts w:ascii="Arial" w:hAnsi="Arial"/>
        </w:rPr>
        <w:t>Pathology Department, Faculty of Medicine, Alexandria University,</w:t>
      </w:r>
      <w:r>
        <w:rPr>
          <w:rFonts w:ascii="Arial" w:hAnsi="Arial"/>
        </w:rPr>
        <w:t xml:space="preserve"> Egypt;</w:t>
      </w:r>
      <w:r>
        <w:rPr>
          <w:rFonts w:ascii="Arial" w:hAnsi="Arial"/>
          <w:vertAlign w:val="superscript"/>
        </w:rPr>
        <w:t xml:space="preserve">3 </w:t>
      </w:r>
      <w:r>
        <w:rPr>
          <w:rFonts w:ascii="Arial" w:hAnsi="Arial"/>
        </w:rPr>
        <w:t xml:space="preserve"> </w:t>
      </w:r>
      <w:r w:rsidRPr="00C65382">
        <w:rPr>
          <w:rFonts w:ascii="Arial" w:hAnsi="Arial"/>
        </w:rPr>
        <w:t>Alexandria Fever hospital,</w:t>
      </w:r>
      <w:r>
        <w:rPr>
          <w:rFonts w:ascii="Arial" w:hAnsi="Arial"/>
        </w:rPr>
        <w:t xml:space="preserve"> Alexandria, Egypt; </w:t>
      </w:r>
    </w:p>
    <w:p w14:paraId="798F74FE" w14:textId="77777777" w:rsidR="00356EC2" w:rsidRPr="00C65382" w:rsidRDefault="00356EC2" w:rsidP="00356EC2">
      <w:pPr>
        <w:spacing w:before="120" w:after="0" w:line="240" w:lineRule="auto"/>
        <w:jc w:val="both"/>
        <w:rPr>
          <w:rFonts w:ascii="Arial" w:hAnsi="Arial"/>
        </w:rPr>
      </w:pPr>
      <w:r w:rsidRPr="00C65382">
        <w:rPr>
          <w:rFonts w:ascii="Arial" w:hAnsi="Arial"/>
          <w:b/>
        </w:rPr>
        <w:t>Addresses:</w:t>
      </w:r>
      <w:r w:rsidRPr="00C65382">
        <w:rPr>
          <w:rFonts w:ascii="Arial" w:hAnsi="Arial"/>
        </w:rPr>
        <w:t xml:space="preserve"> </w:t>
      </w:r>
      <w:r>
        <w:rPr>
          <w:rFonts w:ascii="Arial" w:hAnsi="Arial"/>
        </w:rPr>
        <w:t xml:space="preserve">Al </w:t>
      </w:r>
      <w:proofErr w:type="spellStart"/>
      <w:r>
        <w:rPr>
          <w:rFonts w:ascii="Arial" w:hAnsi="Arial"/>
        </w:rPr>
        <w:t>Kartoum</w:t>
      </w:r>
      <w:proofErr w:type="spellEnd"/>
      <w:r>
        <w:rPr>
          <w:rFonts w:ascii="Arial" w:hAnsi="Arial"/>
        </w:rPr>
        <w:t xml:space="preserve"> Square, Al </w:t>
      </w:r>
      <w:proofErr w:type="spellStart"/>
      <w:r>
        <w:rPr>
          <w:rFonts w:ascii="Arial" w:hAnsi="Arial"/>
        </w:rPr>
        <w:t>Azarita</w:t>
      </w:r>
      <w:proofErr w:type="spellEnd"/>
      <w:r>
        <w:rPr>
          <w:rFonts w:ascii="Arial" w:hAnsi="Arial"/>
        </w:rPr>
        <w:t>, Tropical Medicine and Hygiene Department, Faculty of medicine, Alexandria, Egypt, PO: 21526</w:t>
      </w:r>
    </w:p>
    <w:p w14:paraId="0F8838FA" w14:textId="77777777" w:rsidR="00356EC2" w:rsidRDefault="00356EC2" w:rsidP="00356EC2">
      <w:pPr>
        <w:spacing w:before="120" w:after="0" w:line="240" w:lineRule="auto"/>
        <w:ind w:firstLine="567"/>
        <w:rPr>
          <w:rFonts w:ascii="Arial" w:hAnsi="Arial"/>
          <w:b/>
        </w:rPr>
      </w:pPr>
    </w:p>
    <w:p w14:paraId="77FE764E" w14:textId="77777777" w:rsidR="00356EC2" w:rsidRPr="00C65382" w:rsidRDefault="00356EC2" w:rsidP="00356EC2">
      <w:pPr>
        <w:spacing w:before="120" w:after="0" w:line="240" w:lineRule="auto"/>
        <w:rPr>
          <w:rFonts w:ascii="Arial" w:hAnsi="Arial"/>
          <w:b/>
        </w:rPr>
      </w:pPr>
      <w:r w:rsidRPr="00C65382">
        <w:rPr>
          <w:rFonts w:ascii="Arial" w:hAnsi="Arial"/>
          <w:b/>
        </w:rPr>
        <w:t>Running title:</w:t>
      </w:r>
      <w:r w:rsidRPr="00C65382">
        <w:rPr>
          <w:rFonts w:ascii="Arial" w:hAnsi="Arial"/>
        </w:rPr>
        <w:t xml:space="preserve"> POSSIBLE PREDICTIVE VALUE OF EP-CAM EXPRESSION FOR DEVELOPMENT OF HCC IN CHRONIC HCV INDUCED CIRRHOSIS</w:t>
      </w:r>
    </w:p>
    <w:p w14:paraId="780D83F8" w14:textId="77777777" w:rsidR="00356EC2" w:rsidRPr="00C65382" w:rsidRDefault="00356EC2" w:rsidP="00356EC2">
      <w:pPr>
        <w:spacing w:before="120" w:after="0" w:line="240" w:lineRule="auto"/>
        <w:jc w:val="both"/>
        <w:rPr>
          <w:rFonts w:ascii="Arial" w:hAnsi="Arial"/>
        </w:rPr>
      </w:pPr>
    </w:p>
    <w:p w14:paraId="398CC831" w14:textId="77777777" w:rsidR="00356EC2" w:rsidRPr="00C65382" w:rsidRDefault="00356EC2" w:rsidP="00356EC2">
      <w:pPr>
        <w:spacing w:before="120" w:after="0" w:line="240" w:lineRule="auto"/>
        <w:jc w:val="both"/>
        <w:rPr>
          <w:rFonts w:ascii="Arial" w:hAnsi="Arial"/>
          <w:b/>
        </w:rPr>
      </w:pPr>
      <w:r w:rsidRPr="00C65382">
        <w:rPr>
          <w:rFonts w:ascii="Arial" w:hAnsi="Arial"/>
          <w:b/>
        </w:rPr>
        <w:t xml:space="preserve">Contributors </w:t>
      </w:r>
    </w:p>
    <w:p w14:paraId="68E8C675" w14:textId="77777777" w:rsidR="00356EC2" w:rsidRDefault="00356EC2" w:rsidP="00356EC2">
      <w:pPr>
        <w:spacing w:before="120" w:after="0" w:line="240" w:lineRule="auto"/>
        <w:jc w:val="both"/>
        <w:rPr>
          <w:rFonts w:ascii="Arial" w:hAnsi="Arial"/>
          <w:b/>
        </w:rPr>
      </w:pPr>
    </w:p>
    <w:p w14:paraId="45125B5B" w14:textId="77777777" w:rsidR="00356EC2" w:rsidRPr="00C65382" w:rsidRDefault="00356EC2" w:rsidP="00356EC2">
      <w:pPr>
        <w:spacing w:before="120" w:after="0" w:line="240" w:lineRule="auto"/>
        <w:jc w:val="both"/>
        <w:rPr>
          <w:rFonts w:ascii="Arial" w:hAnsi="Arial"/>
          <w:b/>
        </w:rPr>
      </w:pPr>
      <w:r>
        <w:rPr>
          <w:rFonts w:ascii="Arial" w:hAnsi="Arial"/>
          <w:b/>
        </w:rPr>
        <w:t xml:space="preserve">Assistant Professor/ </w:t>
      </w:r>
      <w:bookmarkStart w:id="0" w:name="_GoBack"/>
      <w:proofErr w:type="spellStart"/>
      <w:r>
        <w:rPr>
          <w:rFonts w:ascii="Arial" w:hAnsi="Arial"/>
          <w:b/>
        </w:rPr>
        <w:t>Essam</w:t>
      </w:r>
      <w:proofErr w:type="spellEnd"/>
      <w:r>
        <w:rPr>
          <w:rFonts w:ascii="Arial" w:hAnsi="Arial"/>
          <w:b/>
        </w:rPr>
        <w:t xml:space="preserve"> </w:t>
      </w:r>
      <w:proofErr w:type="spellStart"/>
      <w:r>
        <w:rPr>
          <w:rFonts w:ascii="Arial" w:hAnsi="Arial"/>
          <w:b/>
        </w:rPr>
        <w:t>Bedewy</w:t>
      </w:r>
      <w:proofErr w:type="spellEnd"/>
      <w:r w:rsidRPr="00C65382">
        <w:rPr>
          <w:rFonts w:ascii="Arial" w:hAnsi="Arial"/>
          <w:b/>
        </w:rPr>
        <w:t xml:space="preserve"> </w:t>
      </w:r>
      <w:bookmarkEnd w:id="0"/>
    </w:p>
    <w:p w14:paraId="6C479EA1" w14:textId="77777777" w:rsidR="00356EC2" w:rsidRDefault="00356EC2" w:rsidP="00356EC2">
      <w:pPr>
        <w:spacing w:before="120" w:after="0" w:line="240" w:lineRule="auto"/>
        <w:ind w:firstLine="567"/>
        <w:jc w:val="both"/>
        <w:rPr>
          <w:rFonts w:ascii="Arial" w:hAnsi="Arial"/>
        </w:rPr>
      </w:pPr>
      <w:r>
        <w:rPr>
          <w:rFonts w:ascii="Arial" w:hAnsi="Arial"/>
        </w:rPr>
        <w:t xml:space="preserve">Assistant Professor, </w:t>
      </w:r>
      <w:r w:rsidRPr="00C65382">
        <w:rPr>
          <w:rFonts w:ascii="Arial" w:hAnsi="Arial"/>
        </w:rPr>
        <w:t xml:space="preserve">Tropical Medicine Department, Faculty of Medicine, </w:t>
      </w:r>
      <w:r>
        <w:rPr>
          <w:rFonts w:ascii="Arial" w:hAnsi="Arial"/>
        </w:rPr>
        <w:t>University of Alexandria, Egypt</w:t>
      </w:r>
    </w:p>
    <w:p w14:paraId="129D67E6" w14:textId="77777777" w:rsidR="00356EC2" w:rsidRDefault="00356EC2" w:rsidP="00356EC2">
      <w:pPr>
        <w:spacing w:before="120" w:after="0" w:line="240" w:lineRule="auto"/>
        <w:ind w:firstLine="567"/>
        <w:jc w:val="both"/>
        <w:rPr>
          <w:rFonts w:ascii="Arial" w:hAnsi="Arial"/>
          <w:b/>
        </w:rPr>
      </w:pPr>
      <w:r>
        <w:rPr>
          <w:rFonts w:ascii="Arial" w:hAnsi="Arial"/>
          <w:b/>
        </w:rPr>
        <w:t xml:space="preserve">Email: </w:t>
      </w:r>
      <w:hyperlink r:id="rId8" w:history="1">
        <w:r w:rsidRPr="00EC4F97">
          <w:rPr>
            <w:rStyle w:val="Hyperlink"/>
            <w:rFonts w:ascii="Arial" w:hAnsi="Arial"/>
            <w:b/>
          </w:rPr>
          <w:t>essambedewy75@gmail.com</w:t>
        </w:r>
      </w:hyperlink>
    </w:p>
    <w:p w14:paraId="3BA79B20" w14:textId="77777777" w:rsidR="00356EC2" w:rsidRDefault="00356EC2" w:rsidP="00356EC2">
      <w:pPr>
        <w:spacing w:before="120" w:after="0" w:line="240" w:lineRule="auto"/>
        <w:ind w:firstLine="567"/>
        <w:jc w:val="both"/>
        <w:rPr>
          <w:rFonts w:ascii="Arial" w:hAnsi="Arial"/>
          <w:b/>
        </w:rPr>
      </w:pPr>
      <w:r>
        <w:rPr>
          <w:rFonts w:ascii="Arial" w:hAnsi="Arial"/>
          <w:b/>
        </w:rPr>
        <w:t>Phone: +201100771111</w:t>
      </w:r>
    </w:p>
    <w:p w14:paraId="27F6F9C9" w14:textId="77777777" w:rsidR="00356EC2" w:rsidRDefault="00356EC2" w:rsidP="00356EC2">
      <w:pPr>
        <w:rPr>
          <w:rFonts w:asciiTheme="minorBidi" w:hAnsiTheme="minorBidi"/>
        </w:rPr>
      </w:pPr>
    </w:p>
    <w:p w14:paraId="48D961B8" w14:textId="77777777" w:rsidR="00356EC2" w:rsidRPr="00C65382" w:rsidRDefault="00356EC2" w:rsidP="00356EC2">
      <w:pPr>
        <w:spacing w:before="120" w:after="0" w:line="240" w:lineRule="auto"/>
        <w:jc w:val="both"/>
        <w:rPr>
          <w:rFonts w:ascii="Arial" w:hAnsi="Arial"/>
          <w:b/>
        </w:rPr>
      </w:pPr>
      <w:r>
        <w:rPr>
          <w:rFonts w:ascii="Arial" w:hAnsi="Arial"/>
          <w:b/>
        </w:rPr>
        <w:t xml:space="preserve">Professor/ Ahmed El </w:t>
      </w:r>
      <w:proofErr w:type="spellStart"/>
      <w:r>
        <w:rPr>
          <w:rFonts w:ascii="Arial" w:hAnsi="Arial"/>
          <w:b/>
        </w:rPr>
        <w:t>Gendi</w:t>
      </w:r>
      <w:proofErr w:type="spellEnd"/>
    </w:p>
    <w:p w14:paraId="5686B78B" w14:textId="77777777" w:rsidR="00356EC2" w:rsidRDefault="00356EC2" w:rsidP="00356EC2">
      <w:pPr>
        <w:spacing w:before="120" w:after="0" w:line="240" w:lineRule="auto"/>
        <w:ind w:firstLine="567"/>
        <w:jc w:val="both"/>
        <w:rPr>
          <w:rFonts w:ascii="Arial" w:hAnsi="Arial"/>
        </w:rPr>
      </w:pPr>
      <w:r>
        <w:rPr>
          <w:rFonts w:ascii="Arial" w:hAnsi="Arial"/>
        </w:rPr>
        <w:t>Professor, General surgery</w:t>
      </w:r>
      <w:r w:rsidRPr="00C65382">
        <w:rPr>
          <w:rFonts w:ascii="Arial" w:hAnsi="Arial"/>
        </w:rPr>
        <w:t xml:space="preserve"> Department, Faculty of Medicine, </w:t>
      </w:r>
      <w:r>
        <w:rPr>
          <w:rFonts w:ascii="Arial" w:hAnsi="Arial"/>
        </w:rPr>
        <w:t>University of Alexandria, Egypt</w:t>
      </w:r>
    </w:p>
    <w:p w14:paraId="093C3853" w14:textId="77777777" w:rsidR="00356EC2" w:rsidRDefault="00356EC2" w:rsidP="00356EC2">
      <w:pPr>
        <w:spacing w:before="120" w:after="0" w:line="240" w:lineRule="auto"/>
        <w:ind w:firstLine="567"/>
        <w:jc w:val="both"/>
        <w:rPr>
          <w:rFonts w:ascii="Arial" w:hAnsi="Arial"/>
          <w:b/>
        </w:rPr>
      </w:pPr>
      <w:r>
        <w:rPr>
          <w:rFonts w:ascii="Arial" w:hAnsi="Arial"/>
          <w:b/>
        </w:rPr>
        <w:t xml:space="preserve">Email: </w:t>
      </w:r>
      <w:hyperlink r:id="rId9" w:history="1">
        <w:r w:rsidRPr="00EC4F97">
          <w:rPr>
            <w:rStyle w:val="Hyperlink"/>
            <w:rFonts w:ascii="Arial" w:hAnsi="Arial"/>
            <w:b/>
          </w:rPr>
          <w:t>draelgendi@gmail.com</w:t>
        </w:r>
      </w:hyperlink>
      <w:r>
        <w:rPr>
          <w:rFonts w:ascii="Arial" w:hAnsi="Arial"/>
          <w:b/>
        </w:rPr>
        <w:t xml:space="preserve"> </w:t>
      </w:r>
    </w:p>
    <w:p w14:paraId="6649800C" w14:textId="77777777" w:rsidR="00356EC2" w:rsidRDefault="00356EC2" w:rsidP="00356EC2">
      <w:pPr>
        <w:spacing w:before="120" w:after="0" w:line="240" w:lineRule="auto"/>
        <w:ind w:firstLine="567"/>
        <w:jc w:val="both"/>
        <w:rPr>
          <w:rFonts w:ascii="Arial" w:hAnsi="Arial"/>
          <w:b/>
        </w:rPr>
      </w:pPr>
    </w:p>
    <w:p w14:paraId="2CC23988" w14:textId="77777777" w:rsidR="00356EC2" w:rsidRPr="00C65382" w:rsidRDefault="00356EC2" w:rsidP="00356EC2">
      <w:pPr>
        <w:spacing w:before="120" w:after="0" w:line="240" w:lineRule="auto"/>
        <w:jc w:val="both"/>
        <w:rPr>
          <w:rFonts w:ascii="Arial" w:hAnsi="Arial"/>
          <w:b/>
        </w:rPr>
      </w:pPr>
      <w:r>
        <w:rPr>
          <w:rFonts w:ascii="Arial" w:hAnsi="Arial"/>
          <w:b/>
        </w:rPr>
        <w:t xml:space="preserve">Assistant Professor/ Mohamed </w:t>
      </w:r>
      <w:proofErr w:type="spellStart"/>
      <w:r>
        <w:rPr>
          <w:rFonts w:ascii="Arial" w:hAnsi="Arial"/>
          <w:b/>
        </w:rPr>
        <w:t>Kamel</w:t>
      </w:r>
      <w:proofErr w:type="spellEnd"/>
    </w:p>
    <w:p w14:paraId="3225E2D6" w14:textId="77777777" w:rsidR="00356EC2" w:rsidRDefault="00356EC2" w:rsidP="00356EC2">
      <w:pPr>
        <w:spacing w:before="120" w:after="0" w:line="240" w:lineRule="auto"/>
        <w:ind w:firstLine="567"/>
        <w:jc w:val="both"/>
        <w:rPr>
          <w:rFonts w:ascii="Arial" w:hAnsi="Arial"/>
        </w:rPr>
      </w:pPr>
      <w:r>
        <w:rPr>
          <w:rFonts w:ascii="Arial" w:hAnsi="Arial"/>
        </w:rPr>
        <w:t>Professor, General Surgery Department, Medical research Institute,</w:t>
      </w:r>
      <w:r w:rsidRPr="00C65382">
        <w:rPr>
          <w:rFonts w:ascii="Arial" w:hAnsi="Arial"/>
        </w:rPr>
        <w:t xml:space="preserve"> U</w:t>
      </w:r>
      <w:r>
        <w:rPr>
          <w:rFonts w:ascii="Arial" w:hAnsi="Arial"/>
        </w:rPr>
        <w:t>niversity of Alexandria, Egypt</w:t>
      </w:r>
    </w:p>
    <w:p w14:paraId="727BE9B5" w14:textId="77777777" w:rsidR="00356EC2" w:rsidRDefault="00356EC2" w:rsidP="00356EC2">
      <w:pPr>
        <w:spacing w:before="120" w:after="0" w:line="240" w:lineRule="auto"/>
        <w:ind w:firstLine="567"/>
        <w:jc w:val="both"/>
        <w:rPr>
          <w:rFonts w:ascii="Arial" w:hAnsi="Arial"/>
          <w:b/>
        </w:rPr>
      </w:pPr>
      <w:r w:rsidRPr="00C65382">
        <w:rPr>
          <w:rFonts w:ascii="Arial" w:hAnsi="Arial"/>
          <w:b/>
        </w:rPr>
        <w:t xml:space="preserve">Email: </w:t>
      </w:r>
      <w:hyperlink r:id="rId10" w:history="1">
        <w:r w:rsidRPr="00C71125">
          <w:rPr>
            <w:rStyle w:val="Hyperlink"/>
            <w:rFonts w:ascii="Arial" w:hAnsi="Arial"/>
            <w:b/>
          </w:rPr>
          <w:t>mohamedsamir12@yahoo.com</w:t>
        </w:r>
      </w:hyperlink>
    </w:p>
    <w:p w14:paraId="16C1A6EA" w14:textId="77777777" w:rsidR="00356EC2" w:rsidRDefault="00356EC2" w:rsidP="00356EC2">
      <w:pPr>
        <w:spacing w:before="120" w:after="0" w:line="240" w:lineRule="auto"/>
        <w:ind w:firstLine="567"/>
        <w:jc w:val="both"/>
        <w:rPr>
          <w:rFonts w:ascii="Arial" w:hAnsi="Arial"/>
          <w:b/>
        </w:rPr>
      </w:pPr>
    </w:p>
    <w:p w14:paraId="1E2D10B0" w14:textId="77777777" w:rsidR="00356EC2" w:rsidRPr="00AF4755" w:rsidRDefault="00356EC2" w:rsidP="00356EC2">
      <w:pPr>
        <w:rPr>
          <w:rFonts w:asciiTheme="minorBidi" w:hAnsiTheme="minorBidi"/>
          <w:b/>
          <w:bCs/>
          <w:sz w:val="24"/>
          <w:szCs w:val="24"/>
          <w:u w:val="single"/>
        </w:rPr>
      </w:pPr>
    </w:p>
    <w:p w14:paraId="41E5F3D3" w14:textId="77777777" w:rsidR="00356EC2" w:rsidRDefault="00356EC2" w:rsidP="00356EC2">
      <w:pPr>
        <w:spacing w:before="120" w:after="0" w:line="240" w:lineRule="auto"/>
        <w:jc w:val="both"/>
        <w:rPr>
          <w:rFonts w:ascii="Arial" w:hAnsi="Arial"/>
          <w:b/>
        </w:rPr>
      </w:pPr>
    </w:p>
    <w:p w14:paraId="2DC7AEDC" w14:textId="77777777" w:rsidR="00356EC2" w:rsidRDefault="00356EC2" w:rsidP="00356EC2">
      <w:pPr>
        <w:spacing w:before="120" w:after="0" w:line="240" w:lineRule="auto"/>
        <w:jc w:val="both"/>
        <w:rPr>
          <w:rFonts w:ascii="Arial" w:hAnsi="Arial"/>
          <w:b/>
        </w:rPr>
      </w:pPr>
      <w:r>
        <w:rPr>
          <w:rFonts w:ascii="Arial" w:hAnsi="Arial"/>
          <w:b/>
        </w:rPr>
        <w:lastRenderedPageBreak/>
        <w:t>Corresponding Author:</w:t>
      </w:r>
    </w:p>
    <w:p w14:paraId="608BF327" w14:textId="77777777" w:rsidR="00356EC2" w:rsidRPr="00C65382" w:rsidRDefault="00356EC2" w:rsidP="00356EC2">
      <w:pPr>
        <w:spacing w:before="120" w:after="0" w:line="240" w:lineRule="auto"/>
        <w:jc w:val="both"/>
        <w:rPr>
          <w:rFonts w:ascii="Arial" w:hAnsi="Arial"/>
          <w:b/>
        </w:rPr>
      </w:pPr>
      <w:r>
        <w:rPr>
          <w:rFonts w:ascii="Arial" w:hAnsi="Arial"/>
          <w:b/>
        </w:rPr>
        <w:t xml:space="preserve">Ass. Professor/ </w:t>
      </w:r>
      <w:proofErr w:type="spellStart"/>
      <w:r>
        <w:rPr>
          <w:rFonts w:ascii="Arial" w:hAnsi="Arial"/>
          <w:b/>
        </w:rPr>
        <w:t>Essam</w:t>
      </w:r>
      <w:proofErr w:type="spellEnd"/>
      <w:r>
        <w:rPr>
          <w:rFonts w:ascii="Arial" w:hAnsi="Arial"/>
          <w:b/>
        </w:rPr>
        <w:t xml:space="preserve"> </w:t>
      </w:r>
      <w:proofErr w:type="spellStart"/>
      <w:r>
        <w:rPr>
          <w:rFonts w:ascii="Arial" w:hAnsi="Arial"/>
          <w:b/>
        </w:rPr>
        <w:t>Bedewy</w:t>
      </w:r>
      <w:proofErr w:type="spellEnd"/>
      <w:r w:rsidRPr="00C65382">
        <w:rPr>
          <w:rFonts w:ascii="Arial" w:hAnsi="Arial"/>
          <w:b/>
        </w:rPr>
        <w:t xml:space="preserve"> </w:t>
      </w:r>
    </w:p>
    <w:p w14:paraId="73FC1913" w14:textId="77777777" w:rsidR="00356EC2" w:rsidRDefault="00356EC2" w:rsidP="00356EC2">
      <w:pPr>
        <w:spacing w:before="120" w:after="0" w:line="240" w:lineRule="auto"/>
        <w:jc w:val="both"/>
        <w:rPr>
          <w:rFonts w:ascii="Arial" w:hAnsi="Arial"/>
        </w:rPr>
      </w:pPr>
      <w:r>
        <w:rPr>
          <w:rFonts w:ascii="Arial" w:hAnsi="Arial"/>
        </w:rPr>
        <w:t xml:space="preserve">Assistant Professor, </w:t>
      </w:r>
      <w:r w:rsidRPr="00C65382">
        <w:rPr>
          <w:rFonts w:ascii="Arial" w:hAnsi="Arial"/>
        </w:rPr>
        <w:t xml:space="preserve">Tropical Medicine Department, Faculty of Medicine, </w:t>
      </w:r>
      <w:r>
        <w:rPr>
          <w:rFonts w:ascii="Arial" w:hAnsi="Arial"/>
        </w:rPr>
        <w:t>University of Alexandria, Egypt</w:t>
      </w:r>
    </w:p>
    <w:p w14:paraId="295ADC0C" w14:textId="77777777" w:rsidR="00356EC2" w:rsidRDefault="00356EC2" w:rsidP="00356EC2">
      <w:pPr>
        <w:spacing w:before="120" w:after="0" w:line="240" w:lineRule="auto"/>
        <w:jc w:val="both"/>
        <w:rPr>
          <w:rFonts w:ascii="Arial" w:hAnsi="Arial"/>
        </w:rPr>
      </w:pPr>
      <w:r w:rsidRPr="00477608">
        <w:rPr>
          <w:rFonts w:ascii="Arial" w:hAnsi="Arial"/>
          <w:b/>
        </w:rPr>
        <w:t>Address:</w:t>
      </w:r>
      <w:r>
        <w:rPr>
          <w:rFonts w:ascii="Arial" w:hAnsi="Arial"/>
        </w:rPr>
        <w:t xml:space="preserve"> Al </w:t>
      </w:r>
      <w:proofErr w:type="spellStart"/>
      <w:r>
        <w:rPr>
          <w:rFonts w:ascii="Arial" w:hAnsi="Arial"/>
        </w:rPr>
        <w:t>Kartoum</w:t>
      </w:r>
      <w:proofErr w:type="spellEnd"/>
      <w:r>
        <w:rPr>
          <w:rFonts w:ascii="Arial" w:hAnsi="Arial"/>
        </w:rPr>
        <w:t xml:space="preserve"> Square, Al </w:t>
      </w:r>
      <w:proofErr w:type="spellStart"/>
      <w:r>
        <w:rPr>
          <w:rFonts w:ascii="Arial" w:hAnsi="Arial"/>
        </w:rPr>
        <w:t>Azarita</w:t>
      </w:r>
      <w:proofErr w:type="spellEnd"/>
      <w:r>
        <w:rPr>
          <w:rFonts w:ascii="Arial" w:hAnsi="Arial"/>
        </w:rPr>
        <w:t>, Tropical Medicine and Hygiene Department, Faculty of medicine, Alexandria, Egypt, PO: 21526</w:t>
      </w:r>
    </w:p>
    <w:p w14:paraId="1DB892CD" w14:textId="77777777" w:rsidR="00356EC2" w:rsidRDefault="00356EC2" w:rsidP="00356EC2">
      <w:pPr>
        <w:spacing w:before="120" w:after="0" w:line="240" w:lineRule="auto"/>
        <w:jc w:val="both"/>
        <w:rPr>
          <w:rFonts w:ascii="Arial" w:hAnsi="Arial"/>
          <w:b/>
        </w:rPr>
      </w:pPr>
      <w:r>
        <w:rPr>
          <w:rFonts w:ascii="Arial" w:hAnsi="Arial"/>
          <w:b/>
        </w:rPr>
        <w:t xml:space="preserve">Email: </w:t>
      </w:r>
      <w:hyperlink r:id="rId11" w:history="1">
        <w:r w:rsidRPr="00EC4F97">
          <w:rPr>
            <w:rStyle w:val="Hyperlink"/>
            <w:rFonts w:ascii="Arial" w:hAnsi="Arial"/>
            <w:b/>
          </w:rPr>
          <w:t>essambedewy75@gmail.com</w:t>
        </w:r>
      </w:hyperlink>
    </w:p>
    <w:p w14:paraId="4CE47F2A" w14:textId="77777777" w:rsidR="00356EC2" w:rsidRPr="00C65382" w:rsidRDefault="00356EC2" w:rsidP="00356EC2">
      <w:pPr>
        <w:spacing w:before="120" w:after="0" w:line="240" w:lineRule="auto"/>
        <w:jc w:val="both"/>
        <w:rPr>
          <w:rFonts w:ascii="Arial" w:hAnsi="Arial"/>
          <w:b/>
        </w:rPr>
      </w:pPr>
      <w:r>
        <w:rPr>
          <w:rFonts w:ascii="Arial" w:hAnsi="Arial"/>
          <w:b/>
        </w:rPr>
        <w:t>Phone: +201100771111</w:t>
      </w:r>
    </w:p>
    <w:p w14:paraId="74EF4D0A" w14:textId="77777777" w:rsidR="00356EC2" w:rsidRDefault="00356EC2" w:rsidP="00356EC2">
      <w:pPr>
        <w:spacing w:before="120" w:after="0" w:line="240" w:lineRule="auto"/>
        <w:jc w:val="both"/>
        <w:rPr>
          <w:rFonts w:ascii="Arial" w:hAnsi="Arial"/>
        </w:rPr>
      </w:pPr>
    </w:p>
    <w:p w14:paraId="1B6B7039" w14:textId="77777777" w:rsidR="00356EC2" w:rsidRPr="00477608" w:rsidRDefault="00356EC2" w:rsidP="00356EC2">
      <w:pPr>
        <w:spacing w:before="120" w:after="0" w:line="240" w:lineRule="auto"/>
        <w:jc w:val="both"/>
        <w:rPr>
          <w:rFonts w:ascii="Arial" w:hAnsi="Arial"/>
          <w:b/>
        </w:rPr>
      </w:pPr>
      <w:r>
        <w:rPr>
          <w:rFonts w:ascii="Arial" w:hAnsi="Arial"/>
          <w:b/>
        </w:rPr>
        <w:t>Conflict of interest and funding: Non</w:t>
      </w:r>
    </w:p>
    <w:p w14:paraId="436F4010" w14:textId="77777777" w:rsidR="00356EC2" w:rsidRDefault="00356EC2" w:rsidP="00EE2886">
      <w:pPr>
        <w:spacing w:line="360" w:lineRule="auto"/>
        <w:jc w:val="both"/>
        <w:rPr>
          <w:rFonts w:asciiTheme="minorBidi" w:hAnsiTheme="minorBidi"/>
          <w:b/>
          <w:bCs/>
          <w:sz w:val="24"/>
          <w:szCs w:val="24"/>
          <w:u w:val="single"/>
        </w:rPr>
      </w:pPr>
    </w:p>
    <w:p w14:paraId="03BCEA4A" w14:textId="77777777" w:rsidR="00356EC2" w:rsidRDefault="00356EC2" w:rsidP="00EE2886">
      <w:pPr>
        <w:spacing w:line="360" w:lineRule="auto"/>
        <w:jc w:val="both"/>
        <w:rPr>
          <w:rFonts w:asciiTheme="minorBidi" w:hAnsiTheme="minorBidi"/>
          <w:b/>
          <w:bCs/>
          <w:sz w:val="24"/>
          <w:szCs w:val="24"/>
          <w:u w:val="single"/>
        </w:rPr>
      </w:pPr>
    </w:p>
    <w:p w14:paraId="0174D97A" w14:textId="77777777" w:rsidR="00356EC2" w:rsidRDefault="00356EC2" w:rsidP="00EE2886">
      <w:pPr>
        <w:spacing w:line="360" w:lineRule="auto"/>
        <w:jc w:val="both"/>
        <w:rPr>
          <w:rFonts w:asciiTheme="minorBidi" w:hAnsiTheme="minorBidi"/>
          <w:b/>
          <w:bCs/>
          <w:sz w:val="24"/>
          <w:szCs w:val="24"/>
          <w:u w:val="single"/>
        </w:rPr>
      </w:pPr>
    </w:p>
    <w:p w14:paraId="7AC7C075" w14:textId="77777777" w:rsidR="00356EC2" w:rsidRDefault="00356EC2" w:rsidP="00EE2886">
      <w:pPr>
        <w:spacing w:line="360" w:lineRule="auto"/>
        <w:jc w:val="both"/>
        <w:rPr>
          <w:rFonts w:asciiTheme="minorBidi" w:hAnsiTheme="minorBidi"/>
          <w:b/>
          <w:bCs/>
          <w:sz w:val="24"/>
          <w:szCs w:val="24"/>
          <w:u w:val="single"/>
        </w:rPr>
      </w:pPr>
    </w:p>
    <w:p w14:paraId="5C2F4FF9" w14:textId="77777777" w:rsidR="00356EC2" w:rsidRDefault="00356EC2" w:rsidP="00EE2886">
      <w:pPr>
        <w:spacing w:line="360" w:lineRule="auto"/>
        <w:jc w:val="both"/>
        <w:rPr>
          <w:rFonts w:asciiTheme="minorBidi" w:hAnsiTheme="minorBidi"/>
          <w:b/>
          <w:bCs/>
          <w:sz w:val="24"/>
          <w:szCs w:val="24"/>
          <w:u w:val="single"/>
        </w:rPr>
      </w:pPr>
    </w:p>
    <w:p w14:paraId="1E1BF86C" w14:textId="77777777" w:rsidR="00356EC2" w:rsidRDefault="00356EC2" w:rsidP="00EE2886">
      <w:pPr>
        <w:spacing w:line="360" w:lineRule="auto"/>
        <w:jc w:val="both"/>
        <w:rPr>
          <w:rFonts w:asciiTheme="minorBidi" w:hAnsiTheme="minorBidi"/>
          <w:b/>
          <w:bCs/>
          <w:sz w:val="24"/>
          <w:szCs w:val="24"/>
          <w:u w:val="single"/>
        </w:rPr>
      </w:pPr>
    </w:p>
    <w:p w14:paraId="32160F77" w14:textId="77777777" w:rsidR="00356EC2" w:rsidRDefault="00356EC2" w:rsidP="00EE2886">
      <w:pPr>
        <w:spacing w:line="360" w:lineRule="auto"/>
        <w:jc w:val="both"/>
        <w:rPr>
          <w:rFonts w:asciiTheme="minorBidi" w:hAnsiTheme="minorBidi"/>
          <w:b/>
          <w:bCs/>
          <w:sz w:val="24"/>
          <w:szCs w:val="24"/>
          <w:u w:val="single"/>
        </w:rPr>
      </w:pPr>
    </w:p>
    <w:p w14:paraId="135C25F8" w14:textId="77777777" w:rsidR="00356EC2" w:rsidRDefault="00356EC2" w:rsidP="00EE2886">
      <w:pPr>
        <w:spacing w:line="360" w:lineRule="auto"/>
        <w:jc w:val="both"/>
        <w:rPr>
          <w:rFonts w:asciiTheme="minorBidi" w:hAnsiTheme="minorBidi"/>
          <w:b/>
          <w:bCs/>
          <w:sz w:val="24"/>
          <w:szCs w:val="24"/>
          <w:u w:val="single"/>
        </w:rPr>
      </w:pPr>
    </w:p>
    <w:p w14:paraId="5129577C" w14:textId="77777777" w:rsidR="00356EC2" w:rsidRDefault="00356EC2" w:rsidP="00EE2886">
      <w:pPr>
        <w:spacing w:line="360" w:lineRule="auto"/>
        <w:jc w:val="both"/>
        <w:rPr>
          <w:rFonts w:asciiTheme="minorBidi" w:hAnsiTheme="minorBidi"/>
          <w:b/>
          <w:bCs/>
          <w:sz w:val="24"/>
          <w:szCs w:val="24"/>
          <w:u w:val="single"/>
        </w:rPr>
      </w:pPr>
    </w:p>
    <w:p w14:paraId="3A0E1952" w14:textId="77777777" w:rsidR="00356EC2" w:rsidRDefault="00356EC2" w:rsidP="00EE2886">
      <w:pPr>
        <w:spacing w:line="360" w:lineRule="auto"/>
        <w:jc w:val="both"/>
        <w:rPr>
          <w:rFonts w:asciiTheme="minorBidi" w:hAnsiTheme="minorBidi"/>
          <w:b/>
          <w:bCs/>
          <w:sz w:val="24"/>
          <w:szCs w:val="24"/>
          <w:u w:val="single"/>
        </w:rPr>
      </w:pPr>
    </w:p>
    <w:p w14:paraId="49EE407F" w14:textId="77777777" w:rsidR="00356EC2" w:rsidRDefault="00356EC2" w:rsidP="00EE2886">
      <w:pPr>
        <w:spacing w:line="360" w:lineRule="auto"/>
        <w:jc w:val="both"/>
        <w:rPr>
          <w:rFonts w:asciiTheme="minorBidi" w:hAnsiTheme="minorBidi"/>
          <w:b/>
          <w:bCs/>
          <w:sz w:val="24"/>
          <w:szCs w:val="24"/>
          <w:u w:val="single"/>
        </w:rPr>
      </w:pPr>
    </w:p>
    <w:p w14:paraId="542D1C94" w14:textId="77777777" w:rsidR="00356EC2" w:rsidRDefault="00356EC2" w:rsidP="00EE2886">
      <w:pPr>
        <w:spacing w:line="360" w:lineRule="auto"/>
        <w:jc w:val="both"/>
        <w:rPr>
          <w:rFonts w:asciiTheme="minorBidi" w:hAnsiTheme="minorBidi"/>
          <w:b/>
          <w:bCs/>
          <w:sz w:val="24"/>
          <w:szCs w:val="24"/>
          <w:u w:val="single"/>
        </w:rPr>
      </w:pPr>
    </w:p>
    <w:p w14:paraId="61AE4ECD" w14:textId="77777777" w:rsidR="00356EC2" w:rsidRDefault="00356EC2" w:rsidP="00EE2886">
      <w:pPr>
        <w:spacing w:line="360" w:lineRule="auto"/>
        <w:jc w:val="both"/>
        <w:rPr>
          <w:rFonts w:asciiTheme="minorBidi" w:hAnsiTheme="minorBidi"/>
          <w:b/>
          <w:bCs/>
          <w:sz w:val="24"/>
          <w:szCs w:val="24"/>
          <w:u w:val="single"/>
        </w:rPr>
      </w:pPr>
    </w:p>
    <w:p w14:paraId="77120408" w14:textId="77777777" w:rsidR="00356EC2" w:rsidRDefault="00356EC2" w:rsidP="00EE2886">
      <w:pPr>
        <w:spacing w:line="360" w:lineRule="auto"/>
        <w:jc w:val="both"/>
        <w:rPr>
          <w:rFonts w:asciiTheme="minorBidi" w:hAnsiTheme="minorBidi"/>
          <w:b/>
          <w:bCs/>
          <w:sz w:val="24"/>
          <w:szCs w:val="24"/>
          <w:u w:val="single"/>
        </w:rPr>
      </w:pPr>
    </w:p>
    <w:p w14:paraId="0931A6E3" w14:textId="77777777" w:rsidR="00356EC2" w:rsidRDefault="00356EC2" w:rsidP="00EE2886">
      <w:pPr>
        <w:spacing w:line="360" w:lineRule="auto"/>
        <w:jc w:val="both"/>
        <w:rPr>
          <w:rFonts w:asciiTheme="minorBidi" w:hAnsiTheme="minorBidi"/>
          <w:b/>
          <w:bCs/>
          <w:sz w:val="24"/>
          <w:szCs w:val="24"/>
          <w:u w:val="single"/>
        </w:rPr>
      </w:pPr>
    </w:p>
    <w:p w14:paraId="50DC0F3B" w14:textId="77777777" w:rsidR="00356EC2" w:rsidRDefault="00356EC2" w:rsidP="00EE2886">
      <w:pPr>
        <w:spacing w:line="360" w:lineRule="auto"/>
        <w:jc w:val="both"/>
        <w:rPr>
          <w:rFonts w:asciiTheme="minorBidi" w:hAnsiTheme="minorBidi"/>
          <w:b/>
          <w:bCs/>
          <w:sz w:val="24"/>
          <w:szCs w:val="24"/>
          <w:u w:val="single"/>
        </w:rPr>
      </w:pPr>
    </w:p>
    <w:p w14:paraId="78EF4D97" w14:textId="2A533504" w:rsidR="00487604" w:rsidRPr="00487604" w:rsidRDefault="00E710AB" w:rsidP="00EE2886">
      <w:pPr>
        <w:spacing w:line="360" w:lineRule="auto"/>
        <w:jc w:val="both"/>
        <w:rPr>
          <w:rFonts w:asciiTheme="minorBidi" w:hAnsiTheme="minorBidi"/>
          <w:b/>
          <w:bCs/>
          <w:sz w:val="24"/>
          <w:szCs w:val="24"/>
          <w:u w:val="single"/>
        </w:rPr>
      </w:pPr>
      <w:r>
        <w:rPr>
          <w:rFonts w:asciiTheme="minorBidi" w:hAnsiTheme="minorBidi"/>
          <w:b/>
          <w:bCs/>
          <w:sz w:val="24"/>
          <w:szCs w:val="24"/>
          <w:u w:val="single"/>
        </w:rPr>
        <w:lastRenderedPageBreak/>
        <w:t>Introduction:</w:t>
      </w:r>
    </w:p>
    <w:p w14:paraId="0F80847B" w14:textId="27DD59D0" w:rsidR="00A01232" w:rsidRPr="00AC4E2B" w:rsidRDefault="00465BD1" w:rsidP="00EE2886">
      <w:pPr>
        <w:spacing w:line="360" w:lineRule="auto"/>
        <w:jc w:val="both"/>
        <w:rPr>
          <w:rFonts w:asciiTheme="minorBidi" w:hAnsiTheme="minorBidi"/>
          <w:vertAlign w:val="superscript"/>
        </w:rPr>
      </w:pPr>
      <w:r>
        <w:rPr>
          <w:rFonts w:asciiTheme="minorBidi" w:hAnsiTheme="minorBidi"/>
        </w:rPr>
        <w:t>Achalasia is a primary esophageal motility disorder characterized by the absence of esophageal peristalsis and impaired relaxation of the lower esophageal sphincter (LES)</w:t>
      </w:r>
      <w:r w:rsidR="00AF4755">
        <w:rPr>
          <w:rFonts w:asciiTheme="minorBidi" w:hAnsiTheme="minorBidi"/>
        </w:rPr>
        <w:t xml:space="preserve"> in response to swallowing. </w:t>
      </w:r>
      <w:r w:rsidR="00A01232">
        <w:rPr>
          <w:rFonts w:asciiTheme="minorBidi" w:hAnsiTheme="minorBidi"/>
        </w:rPr>
        <w:t>The annual incidence of achalasia is approximately 1</w:t>
      </w:r>
      <w:r w:rsidR="00582552">
        <w:rPr>
          <w:rFonts w:asciiTheme="minorBidi" w:hAnsiTheme="minorBidi"/>
        </w:rPr>
        <w:t xml:space="preserve">.6 per </w:t>
      </w:r>
      <w:r w:rsidR="00A01232">
        <w:rPr>
          <w:rFonts w:asciiTheme="minorBidi" w:hAnsiTheme="minorBidi"/>
        </w:rPr>
        <w:t xml:space="preserve">100,000 </w:t>
      </w:r>
      <w:r w:rsidR="00582552">
        <w:rPr>
          <w:rFonts w:asciiTheme="minorBidi" w:hAnsiTheme="minorBidi"/>
        </w:rPr>
        <w:t xml:space="preserve">individuals </w:t>
      </w:r>
      <w:r w:rsidR="00A01232">
        <w:rPr>
          <w:rFonts w:asciiTheme="minorBidi" w:hAnsiTheme="minorBidi"/>
        </w:rPr>
        <w:t>worldwide</w:t>
      </w:r>
      <w:r w:rsidR="00582552">
        <w:rPr>
          <w:rFonts w:asciiTheme="minorBidi" w:hAnsiTheme="minorBidi"/>
        </w:rPr>
        <w:t xml:space="preserve"> and</w:t>
      </w:r>
      <w:r w:rsidR="00A01232">
        <w:rPr>
          <w:rFonts w:asciiTheme="minorBidi" w:hAnsiTheme="minorBidi"/>
        </w:rPr>
        <w:t xml:space="preserve"> prevalence of 10</w:t>
      </w:r>
      <w:r w:rsidR="00582552">
        <w:rPr>
          <w:rFonts w:asciiTheme="minorBidi" w:hAnsiTheme="minorBidi"/>
        </w:rPr>
        <w:t xml:space="preserve"> cases</w:t>
      </w:r>
      <w:r w:rsidR="00A01232">
        <w:rPr>
          <w:rFonts w:asciiTheme="minorBidi" w:hAnsiTheme="minorBidi"/>
        </w:rPr>
        <w:t xml:space="preserve"> </w:t>
      </w:r>
      <w:r w:rsidR="00582552">
        <w:rPr>
          <w:rFonts w:asciiTheme="minorBidi" w:hAnsiTheme="minorBidi"/>
        </w:rPr>
        <w:t>per</w:t>
      </w:r>
      <w:r w:rsidR="00A01232">
        <w:rPr>
          <w:rFonts w:asciiTheme="minorBidi" w:hAnsiTheme="minorBidi"/>
        </w:rPr>
        <w:t xml:space="preserve"> 100,000 </w:t>
      </w:r>
      <w:r w:rsidR="00582552">
        <w:rPr>
          <w:rFonts w:asciiTheme="minorBidi" w:hAnsiTheme="minorBidi"/>
        </w:rPr>
        <w:t>individuals</w:t>
      </w:r>
      <w:r w:rsidR="00A01232">
        <w:rPr>
          <w:rFonts w:asciiTheme="minorBidi" w:hAnsiTheme="minorBidi"/>
        </w:rPr>
        <w:t>. Patients present usually with</w:t>
      </w:r>
      <w:r w:rsidR="004B2E09">
        <w:rPr>
          <w:rFonts w:asciiTheme="minorBidi" w:hAnsiTheme="minorBidi"/>
        </w:rPr>
        <w:t xml:space="preserve"> progressive dysphagia to solids and liquids</w:t>
      </w:r>
      <w:r w:rsidR="000B419F">
        <w:rPr>
          <w:rFonts w:asciiTheme="minorBidi" w:hAnsiTheme="minorBidi"/>
        </w:rPr>
        <w:t>, regurgitation, heart burn, chest pain and weight loss. High resolution Manometry (HRM) is the gold standard test for diagnosis while upper esophagogastroduodenoscopy</w:t>
      </w:r>
      <w:r w:rsidR="00A216A3">
        <w:rPr>
          <w:rFonts w:asciiTheme="minorBidi" w:hAnsiTheme="minorBidi"/>
        </w:rPr>
        <w:t xml:space="preserve"> (EGD) is necessary to rule out tumors of the GEJ or fundus mimicking achalasia.</w:t>
      </w:r>
      <w:r w:rsidR="00AC4E2B">
        <w:rPr>
          <w:rFonts w:asciiTheme="minorBidi" w:hAnsiTheme="minorBidi"/>
        </w:rPr>
        <w:t xml:space="preserve"> </w:t>
      </w:r>
      <w:r w:rsidR="00AC4E2B">
        <w:rPr>
          <w:rFonts w:asciiTheme="minorBidi" w:hAnsiTheme="minorBidi"/>
          <w:vertAlign w:val="superscript"/>
        </w:rPr>
        <w:t>(1)</w:t>
      </w:r>
    </w:p>
    <w:p w14:paraId="17309824" w14:textId="7B3DC6F8" w:rsidR="00E710AB" w:rsidRDefault="0057354A" w:rsidP="00EE2886">
      <w:pPr>
        <w:spacing w:line="360" w:lineRule="auto"/>
        <w:jc w:val="both"/>
        <w:rPr>
          <w:rFonts w:asciiTheme="minorBidi" w:hAnsiTheme="minorBidi"/>
        </w:rPr>
      </w:pPr>
      <w:r>
        <w:rPr>
          <w:rFonts w:asciiTheme="minorBidi" w:hAnsiTheme="minorBidi"/>
        </w:rPr>
        <w:t>Initial therapy is either graded pneumatic dilation (PD) or laparoscopic surgical myotomy with partial fundoplicat</w:t>
      </w:r>
      <w:r w:rsidR="00CB6C80">
        <w:rPr>
          <w:rFonts w:asciiTheme="minorBidi" w:hAnsiTheme="minorBidi"/>
        </w:rPr>
        <w:t>ion in patients fit for surgery, endoscopic intra</w:t>
      </w:r>
      <w:r w:rsidR="00A338AC">
        <w:rPr>
          <w:rFonts w:asciiTheme="minorBidi" w:hAnsiTheme="minorBidi"/>
        </w:rPr>
        <w:t>-</w:t>
      </w:r>
      <w:proofErr w:type="spellStart"/>
      <w:r w:rsidR="00CB6C80">
        <w:rPr>
          <w:rFonts w:asciiTheme="minorBidi" w:hAnsiTheme="minorBidi"/>
        </w:rPr>
        <w:t>sphincteric</w:t>
      </w:r>
      <w:proofErr w:type="spellEnd"/>
      <w:r>
        <w:rPr>
          <w:rFonts w:asciiTheme="minorBidi" w:hAnsiTheme="minorBidi"/>
        </w:rPr>
        <w:t xml:space="preserve"> </w:t>
      </w:r>
      <w:proofErr w:type="spellStart"/>
      <w:r w:rsidR="00A338AC">
        <w:rPr>
          <w:rFonts w:asciiTheme="minorBidi" w:hAnsiTheme="minorBidi"/>
        </w:rPr>
        <w:t>Botulinum</w:t>
      </w:r>
      <w:proofErr w:type="spellEnd"/>
      <w:r>
        <w:rPr>
          <w:rFonts w:asciiTheme="minorBidi" w:hAnsiTheme="minorBidi"/>
        </w:rPr>
        <w:t xml:space="preserve"> toxin </w:t>
      </w:r>
      <w:r w:rsidR="00CB6C80">
        <w:rPr>
          <w:rFonts w:asciiTheme="minorBidi" w:hAnsiTheme="minorBidi"/>
        </w:rPr>
        <w:t>injection</w:t>
      </w:r>
      <w:r>
        <w:rPr>
          <w:rFonts w:asciiTheme="minorBidi" w:hAnsiTheme="minorBidi"/>
        </w:rPr>
        <w:t xml:space="preserve"> is recommended for patients not </w:t>
      </w:r>
      <w:r w:rsidR="00CB6C80">
        <w:rPr>
          <w:rFonts w:asciiTheme="minorBidi" w:hAnsiTheme="minorBidi"/>
        </w:rPr>
        <w:t>candidates for PD or surgery</w:t>
      </w:r>
      <w:r w:rsidR="00CF701F">
        <w:rPr>
          <w:rFonts w:asciiTheme="minorBidi" w:hAnsiTheme="minorBidi"/>
        </w:rPr>
        <w:t xml:space="preserve"> </w:t>
      </w:r>
      <w:r w:rsidR="00CF701F">
        <w:rPr>
          <w:rFonts w:asciiTheme="minorBidi" w:hAnsiTheme="minorBidi"/>
          <w:vertAlign w:val="superscript"/>
        </w:rPr>
        <w:t>(2)</w:t>
      </w:r>
      <w:r w:rsidR="006E4755">
        <w:rPr>
          <w:rFonts w:asciiTheme="minorBidi" w:hAnsiTheme="minorBidi"/>
        </w:rPr>
        <w:t>.</w:t>
      </w:r>
      <w:r w:rsidR="003B043F">
        <w:rPr>
          <w:rFonts w:asciiTheme="minorBidi" w:hAnsiTheme="minorBidi"/>
        </w:rPr>
        <w:t xml:space="preserve"> Peroral endoscopic myotomy (POEM) </w:t>
      </w:r>
      <w:r w:rsidR="00274E88">
        <w:rPr>
          <w:rFonts w:asciiTheme="minorBidi" w:hAnsiTheme="minorBidi"/>
        </w:rPr>
        <w:t>could</w:t>
      </w:r>
      <w:r w:rsidR="008C0AFF">
        <w:rPr>
          <w:rFonts w:asciiTheme="minorBidi" w:hAnsiTheme="minorBidi"/>
        </w:rPr>
        <w:t xml:space="preserve"> become an alternative to surgical myotomy because of the potential advantages when compared to Heller myotomy as it minimizes the postoperative pain, longer myotomy could be done, anti</w:t>
      </w:r>
      <w:r w:rsidR="00A338AC">
        <w:rPr>
          <w:rFonts w:asciiTheme="minorBidi" w:hAnsiTheme="minorBidi"/>
        </w:rPr>
        <w:t>-</w:t>
      </w:r>
      <w:r w:rsidR="008C0AFF">
        <w:rPr>
          <w:rFonts w:asciiTheme="minorBidi" w:hAnsiTheme="minorBidi"/>
        </w:rPr>
        <w:t>reflux surgery is</w:t>
      </w:r>
      <w:r w:rsidR="005575DB">
        <w:rPr>
          <w:rFonts w:asciiTheme="minorBidi" w:hAnsiTheme="minorBidi"/>
        </w:rPr>
        <w:t xml:space="preserve"> rarely</w:t>
      </w:r>
      <w:r w:rsidR="008C0AFF">
        <w:rPr>
          <w:rFonts w:asciiTheme="minorBidi" w:hAnsiTheme="minorBidi"/>
        </w:rPr>
        <w:t xml:space="preserve"> needed because</w:t>
      </w:r>
      <w:r w:rsidR="00274E88">
        <w:rPr>
          <w:rFonts w:asciiTheme="minorBidi" w:hAnsiTheme="minorBidi"/>
        </w:rPr>
        <w:t xml:space="preserve"> it is done without dissection at the level of GEJ and</w:t>
      </w:r>
      <w:r w:rsidR="005575DB">
        <w:rPr>
          <w:rFonts w:asciiTheme="minorBidi" w:hAnsiTheme="minorBidi"/>
        </w:rPr>
        <w:t xml:space="preserve"> shorter hospitalization period</w:t>
      </w:r>
      <w:r w:rsidR="000D6010">
        <w:rPr>
          <w:rFonts w:asciiTheme="minorBidi" w:hAnsiTheme="minorBidi"/>
        </w:rPr>
        <w:t xml:space="preserve"> </w:t>
      </w:r>
      <w:r w:rsidR="000D6010">
        <w:rPr>
          <w:rFonts w:asciiTheme="minorBidi" w:hAnsiTheme="minorBidi"/>
          <w:vertAlign w:val="superscript"/>
        </w:rPr>
        <w:t>(3)</w:t>
      </w:r>
      <w:r w:rsidR="005575DB">
        <w:rPr>
          <w:rFonts w:asciiTheme="minorBidi" w:hAnsiTheme="minorBidi"/>
        </w:rPr>
        <w:t>. However,</w:t>
      </w:r>
      <w:r w:rsidR="00274E88">
        <w:rPr>
          <w:rFonts w:asciiTheme="minorBidi" w:hAnsiTheme="minorBidi"/>
        </w:rPr>
        <w:t xml:space="preserve"> it is a very demanding procedure</w:t>
      </w:r>
      <w:r w:rsidR="005575DB">
        <w:rPr>
          <w:rFonts w:asciiTheme="minorBidi" w:hAnsiTheme="minorBidi"/>
        </w:rPr>
        <w:t xml:space="preserve"> having a long learning </w:t>
      </w:r>
      <w:r w:rsidR="00C07115">
        <w:rPr>
          <w:rFonts w:asciiTheme="minorBidi" w:hAnsiTheme="minorBidi"/>
        </w:rPr>
        <w:t>curve,</w:t>
      </w:r>
      <w:r w:rsidR="005575DB">
        <w:rPr>
          <w:rFonts w:asciiTheme="minorBidi" w:hAnsiTheme="minorBidi"/>
        </w:rPr>
        <w:t xml:space="preserve"> a very skilled </w:t>
      </w:r>
      <w:r w:rsidR="00A338AC">
        <w:rPr>
          <w:rFonts w:asciiTheme="minorBidi" w:hAnsiTheme="minorBidi"/>
        </w:rPr>
        <w:t>endoscopist</w:t>
      </w:r>
      <w:r w:rsidR="005575DB">
        <w:rPr>
          <w:rFonts w:asciiTheme="minorBidi" w:hAnsiTheme="minorBidi"/>
        </w:rPr>
        <w:t xml:space="preserve"> is required and surgical revision in recurrent</w:t>
      </w:r>
      <w:r w:rsidR="00FB2679">
        <w:rPr>
          <w:rFonts w:asciiTheme="minorBidi" w:hAnsiTheme="minorBidi"/>
        </w:rPr>
        <w:t xml:space="preserve"> dysphagia could be really challenging due to the adhesions between the </w:t>
      </w:r>
      <w:r w:rsidR="00A338AC">
        <w:rPr>
          <w:rFonts w:asciiTheme="minorBidi" w:hAnsiTheme="minorBidi"/>
        </w:rPr>
        <w:t>sub mucosal</w:t>
      </w:r>
      <w:r w:rsidR="00FB2679">
        <w:rPr>
          <w:rFonts w:asciiTheme="minorBidi" w:hAnsiTheme="minorBidi"/>
        </w:rPr>
        <w:t xml:space="preserve"> and longitudinal muscular layers.</w:t>
      </w:r>
      <w:r w:rsidR="000D6010">
        <w:rPr>
          <w:rFonts w:asciiTheme="minorBidi" w:hAnsiTheme="minorBidi"/>
        </w:rPr>
        <w:t xml:space="preserve"> </w:t>
      </w:r>
      <w:r w:rsidR="000D6010">
        <w:rPr>
          <w:rFonts w:asciiTheme="minorBidi" w:hAnsiTheme="minorBidi"/>
          <w:vertAlign w:val="superscript"/>
        </w:rPr>
        <w:t>(3)</w:t>
      </w:r>
    </w:p>
    <w:p w14:paraId="05F0AF19" w14:textId="2C89F36E" w:rsidR="00A338AC" w:rsidRPr="00A338AC" w:rsidRDefault="00A338AC" w:rsidP="00EE2886">
      <w:pPr>
        <w:spacing w:line="360" w:lineRule="auto"/>
        <w:jc w:val="both"/>
        <w:rPr>
          <w:rFonts w:asciiTheme="minorBidi" w:hAnsiTheme="minorBidi"/>
        </w:rPr>
      </w:pPr>
      <w:r>
        <w:rPr>
          <w:rFonts w:asciiTheme="minorBidi" w:hAnsiTheme="minorBidi"/>
        </w:rPr>
        <w:t xml:space="preserve">The combined injection of Botulinum toxin combined with pneumatic dilation wasn’t </w:t>
      </w:r>
      <w:r w:rsidR="00673561">
        <w:rPr>
          <w:rFonts w:asciiTheme="minorBidi" w:hAnsiTheme="minorBidi"/>
        </w:rPr>
        <w:t xml:space="preserve">thoroughly investigated in the literature, however the studied conducted regarding this technique recommended its </w:t>
      </w:r>
      <w:r w:rsidR="00E20CC9">
        <w:rPr>
          <w:rFonts w:asciiTheme="minorBidi" w:hAnsiTheme="minorBidi"/>
        </w:rPr>
        <w:t>usage and</w:t>
      </w:r>
      <w:r w:rsidR="00673561">
        <w:rPr>
          <w:rFonts w:asciiTheme="minorBidi" w:hAnsiTheme="minorBidi"/>
        </w:rPr>
        <w:t xml:space="preserve"> its superiority over the monotherapy procedure.  </w:t>
      </w:r>
    </w:p>
    <w:p w14:paraId="46A91E9C" w14:textId="77777777" w:rsidR="003C731D" w:rsidRDefault="00582552" w:rsidP="00EE2886">
      <w:pPr>
        <w:spacing w:line="360" w:lineRule="auto"/>
        <w:jc w:val="both"/>
        <w:rPr>
          <w:rFonts w:asciiTheme="minorBidi" w:hAnsiTheme="minorBidi"/>
          <w:b/>
          <w:bCs/>
          <w:sz w:val="24"/>
          <w:szCs w:val="24"/>
          <w:u w:val="single"/>
        </w:rPr>
      </w:pPr>
      <w:r w:rsidRPr="00582552">
        <w:rPr>
          <w:rFonts w:asciiTheme="minorBidi" w:hAnsiTheme="minorBidi"/>
          <w:b/>
          <w:bCs/>
          <w:sz w:val="24"/>
          <w:szCs w:val="24"/>
          <w:u w:val="single"/>
        </w:rPr>
        <w:t>Aim:</w:t>
      </w:r>
      <w:r>
        <w:rPr>
          <w:rFonts w:asciiTheme="minorBidi" w:hAnsiTheme="minorBidi"/>
          <w:b/>
          <w:bCs/>
          <w:sz w:val="24"/>
          <w:szCs w:val="24"/>
          <w:u w:val="single"/>
        </w:rPr>
        <w:t xml:space="preserve"> </w:t>
      </w:r>
    </w:p>
    <w:p w14:paraId="460823E0" w14:textId="335A9E08" w:rsidR="00FB2679" w:rsidRPr="003C731D" w:rsidRDefault="00BE5F50" w:rsidP="00EE2886">
      <w:pPr>
        <w:spacing w:line="360" w:lineRule="auto"/>
        <w:jc w:val="both"/>
        <w:rPr>
          <w:rFonts w:asciiTheme="minorBidi" w:hAnsiTheme="minorBidi"/>
          <w:b/>
          <w:bCs/>
          <w:sz w:val="24"/>
          <w:szCs w:val="24"/>
          <w:u w:val="single"/>
        </w:rPr>
      </w:pPr>
      <w:r>
        <w:rPr>
          <w:rFonts w:asciiTheme="minorBidi" w:hAnsiTheme="minorBidi"/>
        </w:rPr>
        <w:t>Evaluating</w:t>
      </w:r>
      <w:r w:rsidR="00CA5AE8">
        <w:rPr>
          <w:rFonts w:asciiTheme="minorBidi" w:hAnsiTheme="minorBidi"/>
        </w:rPr>
        <w:t xml:space="preserve"> combined</w:t>
      </w:r>
      <w:r w:rsidR="00CE5C10">
        <w:rPr>
          <w:rFonts w:asciiTheme="minorBidi" w:hAnsiTheme="minorBidi"/>
        </w:rPr>
        <w:t xml:space="preserve"> single step endoscopic procedure of</w:t>
      </w:r>
      <w:r w:rsidR="00CA5AE8">
        <w:rPr>
          <w:rFonts w:asciiTheme="minorBidi" w:hAnsiTheme="minorBidi"/>
        </w:rPr>
        <w:t xml:space="preserve"> </w:t>
      </w:r>
      <w:r w:rsidR="00A338AC">
        <w:rPr>
          <w:rFonts w:asciiTheme="minorBidi" w:hAnsiTheme="minorBidi"/>
        </w:rPr>
        <w:t>Botulinum</w:t>
      </w:r>
      <w:r w:rsidR="00CA5AE8">
        <w:rPr>
          <w:rFonts w:asciiTheme="minorBidi" w:hAnsiTheme="minorBidi"/>
        </w:rPr>
        <w:t xml:space="preserve"> tox</w:t>
      </w:r>
      <w:r w:rsidR="0057354A">
        <w:rPr>
          <w:rFonts w:asciiTheme="minorBidi" w:hAnsiTheme="minorBidi"/>
        </w:rPr>
        <w:t xml:space="preserve">in </w:t>
      </w:r>
      <w:r w:rsidR="00A97CAD">
        <w:rPr>
          <w:rFonts w:asciiTheme="minorBidi" w:hAnsiTheme="minorBidi"/>
        </w:rPr>
        <w:t>injection,</w:t>
      </w:r>
      <w:r w:rsidR="0057354A">
        <w:rPr>
          <w:rFonts w:asciiTheme="minorBidi" w:hAnsiTheme="minorBidi"/>
        </w:rPr>
        <w:t xml:space="preserve"> pneumatic dilation and mechanical dil</w:t>
      </w:r>
      <w:r w:rsidR="00CE5C10">
        <w:rPr>
          <w:rFonts w:asciiTheme="minorBidi" w:hAnsiTheme="minorBidi"/>
        </w:rPr>
        <w:t xml:space="preserve">ation by retroflexed </w:t>
      </w:r>
      <w:r w:rsidR="00CA5AE8">
        <w:rPr>
          <w:rFonts w:asciiTheme="minorBidi" w:hAnsiTheme="minorBidi"/>
        </w:rPr>
        <w:t>scope</w:t>
      </w:r>
      <w:r w:rsidR="00E20CC9">
        <w:rPr>
          <w:rFonts w:asciiTheme="minorBidi" w:hAnsiTheme="minorBidi"/>
        </w:rPr>
        <w:t xml:space="preserve"> (COMBO)</w:t>
      </w:r>
      <w:r w:rsidR="00CA5AE8">
        <w:rPr>
          <w:rFonts w:asciiTheme="minorBidi" w:hAnsiTheme="minorBidi"/>
        </w:rPr>
        <w:t xml:space="preserve"> as a suggested </w:t>
      </w:r>
      <w:r w:rsidR="00CE5C10">
        <w:rPr>
          <w:rFonts w:asciiTheme="minorBidi" w:hAnsiTheme="minorBidi"/>
        </w:rPr>
        <w:t xml:space="preserve">effective </w:t>
      </w:r>
      <w:r w:rsidR="00CA5AE8">
        <w:rPr>
          <w:rFonts w:asciiTheme="minorBidi" w:hAnsiTheme="minorBidi"/>
        </w:rPr>
        <w:t xml:space="preserve">treatment </w:t>
      </w:r>
      <w:r w:rsidR="00204CB1">
        <w:rPr>
          <w:rFonts w:asciiTheme="minorBidi" w:hAnsiTheme="minorBidi"/>
        </w:rPr>
        <w:t>for</w:t>
      </w:r>
      <w:r w:rsidR="00CA5AE8">
        <w:rPr>
          <w:rFonts w:asciiTheme="minorBidi" w:hAnsiTheme="minorBidi"/>
        </w:rPr>
        <w:t xml:space="preserve"> achalasia </w:t>
      </w:r>
    </w:p>
    <w:p w14:paraId="7A2B8656" w14:textId="0B1B68F7" w:rsidR="0096136D" w:rsidRDefault="0096136D" w:rsidP="00EE2886">
      <w:pPr>
        <w:spacing w:line="360" w:lineRule="auto"/>
        <w:jc w:val="both"/>
        <w:rPr>
          <w:rFonts w:asciiTheme="minorBidi" w:hAnsiTheme="minorBidi"/>
          <w:b/>
          <w:bCs/>
          <w:sz w:val="24"/>
          <w:szCs w:val="24"/>
          <w:u w:val="single"/>
        </w:rPr>
      </w:pPr>
      <w:r>
        <w:rPr>
          <w:rFonts w:asciiTheme="minorBidi" w:hAnsiTheme="minorBidi"/>
          <w:b/>
          <w:bCs/>
          <w:sz w:val="24"/>
          <w:szCs w:val="24"/>
          <w:u w:val="single"/>
        </w:rPr>
        <w:t>Patients</w:t>
      </w:r>
      <w:r w:rsidR="00465BD1" w:rsidRPr="00AF4755">
        <w:rPr>
          <w:rFonts w:asciiTheme="minorBidi" w:hAnsiTheme="minorBidi"/>
          <w:b/>
          <w:bCs/>
          <w:sz w:val="24"/>
          <w:szCs w:val="24"/>
          <w:u w:val="single"/>
        </w:rPr>
        <w:t xml:space="preserve"> and Methods:</w:t>
      </w:r>
      <w:r w:rsidR="00582552">
        <w:rPr>
          <w:rFonts w:asciiTheme="minorBidi" w:hAnsiTheme="minorBidi"/>
          <w:b/>
          <w:bCs/>
          <w:sz w:val="24"/>
          <w:szCs w:val="24"/>
          <w:u w:val="single"/>
        </w:rPr>
        <w:t xml:space="preserve"> </w:t>
      </w:r>
    </w:p>
    <w:p w14:paraId="1CDAA78D" w14:textId="28AEFD00" w:rsidR="00BE5F50" w:rsidRDefault="001025D1" w:rsidP="00EE2886">
      <w:pPr>
        <w:spacing w:line="360" w:lineRule="auto"/>
        <w:jc w:val="both"/>
        <w:rPr>
          <w:rFonts w:asciiTheme="minorBidi" w:hAnsiTheme="minorBidi"/>
        </w:rPr>
      </w:pPr>
      <w:r>
        <w:rPr>
          <w:rFonts w:asciiTheme="minorBidi" w:hAnsiTheme="minorBidi"/>
        </w:rPr>
        <w:t xml:space="preserve">The study </w:t>
      </w:r>
      <w:r w:rsidR="0096136D">
        <w:rPr>
          <w:rFonts w:asciiTheme="minorBidi" w:hAnsiTheme="minorBidi"/>
        </w:rPr>
        <w:t>included</w:t>
      </w:r>
      <w:r w:rsidR="00BE5F50">
        <w:rPr>
          <w:rFonts w:asciiTheme="minorBidi" w:hAnsiTheme="minorBidi"/>
        </w:rPr>
        <w:t xml:space="preserve"> 44 Egyptian</w:t>
      </w:r>
      <w:r w:rsidR="00CB26CF" w:rsidRPr="00CB26CF">
        <w:rPr>
          <w:rFonts w:asciiTheme="minorBidi" w:hAnsiTheme="minorBidi"/>
        </w:rPr>
        <w:t xml:space="preserve"> patients</w:t>
      </w:r>
      <w:r w:rsidR="00CB26CF">
        <w:rPr>
          <w:rFonts w:asciiTheme="minorBidi" w:hAnsiTheme="minorBidi"/>
        </w:rPr>
        <w:t xml:space="preserve"> </w:t>
      </w:r>
      <w:r w:rsidR="00BE5F50">
        <w:rPr>
          <w:rFonts w:asciiTheme="minorBidi" w:hAnsiTheme="minorBidi"/>
        </w:rPr>
        <w:t>suffering from achalasia of the cardia (AC). Diagnosis of AC was suspected by history taking, clinical manifestation mainly dysphagia to liquids</w:t>
      </w:r>
      <w:r w:rsidR="00CE5C10">
        <w:rPr>
          <w:rFonts w:asciiTheme="minorBidi" w:hAnsiTheme="minorBidi"/>
        </w:rPr>
        <w:t xml:space="preserve"> and solids, regurgitation, choking sensation and</w:t>
      </w:r>
      <w:r w:rsidR="00BE5F50">
        <w:rPr>
          <w:rFonts w:asciiTheme="minorBidi" w:hAnsiTheme="minorBidi"/>
        </w:rPr>
        <w:t xml:space="preserve"> loss of weight, confirmation was followed by </w:t>
      </w:r>
      <w:r w:rsidR="00CE5C10">
        <w:rPr>
          <w:rFonts w:asciiTheme="minorBidi" w:hAnsiTheme="minorBidi"/>
        </w:rPr>
        <w:lastRenderedPageBreak/>
        <w:t xml:space="preserve">Radiology in the form of </w:t>
      </w:r>
      <w:r w:rsidR="00BE5F50">
        <w:rPr>
          <w:rFonts w:asciiTheme="minorBidi" w:hAnsiTheme="minorBidi"/>
        </w:rPr>
        <w:t xml:space="preserve">Barium oral swallow and Confirmatory CT Contrast </w:t>
      </w:r>
      <w:r w:rsidR="00CE5C10">
        <w:rPr>
          <w:rFonts w:asciiTheme="minorBidi" w:hAnsiTheme="minorBidi"/>
        </w:rPr>
        <w:t xml:space="preserve">with </w:t>
      </w:r>
      <w:r w:rsidR="00BE5F50">
        <w:rPr>
          <w:rFonts w:asciiTheme="minorBidi" w:hAnsiTheme="minorBidi"/>
        </w:rPr>
        <w:t>esophageal study was done only if needed to exclude any suspected esophageal stricture (only in 2 patients and was confirmed to be Achalasia)</w:t>
      </w:r>
      <w:r>
        <w:rPr>
          <w:rFonts w:asciiTheme="minorBidi" w:hAnsiTheme="minorBidi"/>
        </w:rPr>
        <w:t xml:space="preserve">. </w:t>
      </w:r>
    </w:p>
    <w:p w14:paraId="4713FE1F" w14:textId="7080A814" w:rsidR="00B2333D" w:rsidRDefault="00E20CC9" w:rsidP="00EE2886">
      <w:pPr>
        <w:spacing w:line="360" w:lineRule="auto"/>
        <w:jc w:val="both"/>
        <w:rPr>
          <w:rFonts w:asciiTheme="minorBidi" w:hAnsiTheme="minorBidi"/>
        </w:rPr>
      </w:pPr>
      <w:r>
        <w:rPr>
          <w:rFonts w:asciiTheme="minorBidi" w:hAnsiTheme="minorBidi"/>
        </w:rPr>
        <w:t>All patients included in this study will receive a medical treatment in the form of nitroglycerine at least for 3 weeks and those who will not show improvement to medical treatment, will be subjected to COMBO method.</w:t>
      </w:r>
    </w:p>
    <w:p w14:paraId="3FF6167D" w14:textId="3CA74BE8" w:rsidR="001B06FE" w:rsidRDefault="00CE5C10" w:rsidP="00EE2886">
      <w:pPr>
        <w:spacing w:line="360" w:lineRule="auto"/>
        <w:jc w:val="both"/>
        <w:rPr>
          <w:rFonts w:asciiTheme="minorBidi" w:hAnsiTheme="minorBidi"/>
          <w:bCs/>
        </w:rPr>
      </w:pPr>
      <w:r>
        <w:rPr>
          <w:rFonts w:asciiTheme="minorBidi" w:hAnsiTheme="minorBidi"/>
          <w:bCs/>
        </w:rPr>
        <w:t xml:space="preserve">The </w:t>
      </w:r>
      <w:r w:rsidR="001B06FE">
        <w:rPr>
          <w:rFonts w:asciiTheme="minorBidi" w:hAnsiTheme="minorBidi"/>
          <w:bCs/>
        </w:rPr>
        <w:t xml:space="preserve">suggested </w:t>
      </w:r>
      <w:r w:rsidR="001B06FE" w:rsidRPr="001B06FE">
        <w:rPr>
          <w:rFonts w:asciiTheme="minorBidi" w:hAnsiTheme="minorBidi"/>
          <w:b/>
          <w:bCs/>
        </w:rPr>
        <w:t>COMBO</w:t>
      </w:r>
      <w:r w:rsidR="001B06FE">
        <w:rPr>
          <w:rFonts w:asciiTheme="minorBidi" w:hAnsiTheme="minorBidi"/>
          <w:b/>
          <w:bCs/>
        </w:rPr>
        <w:t xml:space="preserve"> </w:t>
      </w:r>
      <w:r w:rsidR="001B06FE">
        <w:rPr>
          <w:rFonts w:asciiTheme="minorBidi" w:hAnsiTheme="minorBidi"/>
          <w:bCs/>
        </w:rPr>
        <w:t>technique is done in</w:t>
      </w:r>
      <w:r>
        <w:rPr>
          <w:rFonts w:asciiTheme="minorBidi" w:hAnsiTheme="minorBidi"/>
          <w:bCs/>
        </w:rPr>
        <w:t xml:space="preserve"> single endoscopic setting</w:t>
      </w:r>
      <w:r w:rsidR="001B06FE">
        <w:rPr>
          <w:rFonts w:asciiTheme="minorBidi" w:hAnsiTheme="minorBidi"/>
          <w:bCs/>
        </w:rPr>
        <w:t xml:space="preserve"> three-steps </w:t>
      </w:r>
      <w:r>
        <w:rPr>
          <w:rFonts w:asciiTheme="minorBidi" w:hAnsiTheme="minorBidi"/>
          <w:bCs/>
        </w:rPr>
        <w:t>procedure:</w:t>
      </w:r>
    </w:p>
    <w:p w14:paraId="6DE0A0A0" w14:textId="2599DC3B" w:rsidR="00AD70A6" w:rsidRPr="00AD70A6" w:rsidRDefault="00AD70A6" w:rsidP="00EE2886">
      <w:pPr>
        <w:pStyle w:val="ListParagraph"/>
        <w:numPr>
          <w:ilvl w:val="0"/>
          <w:numId w:val="1"/>
        </w:numPr>
        <w:spacing w:line="360" w:lineRule="auto"/>
        <w:jc w:val="both"/>
        <w:rPr>
          <w:rFonts w:asciiTheme="minorBidi" w:hAnsiTheme="minorBidi"/>
          <w:bCs/>
        </w:rPr>
      </w:pPr>
      <w:r w:rsidRPr="00AD70A6">
        <w:rPr>
          <w:rFonts w:asciiTheme="minorBidi" w:hAnsiTheme="minorBidi"/>
          <w:bCs/>
        </w:rPr>
        <w:t>Injection of 100 Units</w:t>
      </w:r>
      <w:r w:rsidR="001B06FE" w:rsidRPr="00AD70A6">
        <w:rPr>
          <w:rFonts w:asciiTheme="minorBidi" w:hAnsiTheme="minorBidi"/>
          <w:bCs/>
        </w:rPr>
        <w:t xml:space="preserve"> Botulinum toxin</w:t>
      </w:r>
      <w:r w:rsidRPr="00AD70A6">
        <w:rPr>
          <w:rFonts w:asciiTheme="minorBidi" w:hAnsiTheme="minorBidi"/>
          <w:bCs/>
        </w:rPr>
        <w:t xml:space="preserve"> type A (Botox-Allergan), 25 units circumfere</w:t>
      </w:r>
      <w:r w:rsidR="00CE5C10">
        <w:rPr>
          <w:rFonts w:asciiTheme="minorBidi" w:hAnsiTheme="minorBidi"/>
          <w:bCs/>
        </w:rPr>
        <w:t xml:space="preserve">ntially in anterior, posterior and </w:t>
      </w:r>
      <w:r w:rsidRPr="00AD70A6">
        <w:rPr>
          <w:rFonts w:asciiTheme="minorBidi" w:hAnsiTheme="minorBidi"/>
          <w:bCs/>
        </w:rPr>
        <w:t>lateral esophageal wall.</w:t>
      </w:r>
      <w:r w:rsidR="00C07115">
        <w:rPr>
          <w:rFonts w:asciiTheme="minorBidi" w:hAnsiTheme="minorBidi"/>
          <w:bCs/>
        </w:rPr>
        <w:t xml:space="preserve"> </w:t>
      </w:r>
      <w:r w:rsidR="00C07115" w:rsidRPr="00C07115">
        <w:rPr>
          <w:rFonts w:asciiTheme="minorBidi" w:hAnsiTheme="minorBidi"/>
          <w:b/>
          <w:bCs/>
        </w:rPr>
        <w:t>(Figure 1 &amp; 2)</w:t>
      </w:r>
    </w:p>
    <w:p w14:paraId="1A661940" w14:textId="105EF7BF" w:rsidR="001B06FE" w:rsidRDefault="00AD70A6" w:rsidP="00EE2886">
      <w:pPr>
        <w:pStyle w:val="ListParagraph"/>
        <w:numPr>
          <w:ilvl w:val="0"/>
          <w:numId w:val="1"/>
        </w:numPr>
        <w:spacing w:line="360" w:lineRule="auto"/>
        <w:jc w:val="both"/>
        <w:rPr>
          <w:rFonts w:asciiTheme="minorBidi" w:hAnsiTheme="minorBidi"/>
          <w:bCs/>
        </w:rPr>
      </w:pPr>
      <w:r w:rsidRPr="00AD70A6">
        <w:rPr>
          <w:rFonts w:asciiTheme="minorBidi" w:hAnsiTheme="minorBidi"/>
          <w:bCs/>
        </w:rPr>
        <w:t xml:space="preserve"> </w:t>
      </w:r>
      <w:r w:rsidR="00CE5C10">
        <w:rPr>
          <w:rFonts w:asciiTheme="minorBidi" w:hAnsiTheme="minorBidi"/>
          <w:bCs/>
        </w:rPr>
        <w:t>Wait</w:t>
      </w:r>
      <w:r>
        <w:rPr>
          <w:rFonts w:asciiTheme="minorBidi" w:hAnsiTheme="minorBidi"/>
          <w:bCs/>
        </w:rPr>
        <w:t xml:space="preserve"> about 1-2min and pass the scope</w:t>
      </w:r>
      <w:r w:rsidR="00CE5C10">
        <w:rPr>
          <w:rFonts w:asciiTheme="minorBidi" w:hAnsiTheme="minorBidi"/>
          <w:bCs/>
        </w:rPr>
        <w:t xml:space="preserve"> to the stomach</w:t>
      </w:r>
      <w:r>
        <w:rPr>
          <w:rFonts w:asciiTheme="minorBidi" w:hAnsiTheme="minorBidi"/>
          <w:bCs/>
        </w:rPr>
        <w:t xml:space="preserve"> and then graded dilatation using Achalasia balloon</w:t>
      </w:r>
      <w:r w:rsidR="00CE5C10">
        <w:rPr>
          <w:rFonts w:asciiTheme="minorBidi" w:hAnsiTheme="minorBidi"/>
          <w:bCs/>
        </w:rPr>
        <w:t xml:space="preserve"> over guide wire starting from</w:t>
      </w:r>
      <w:r>
        <w:rPr>
          <w:rFonts w:asciiTheme="minorBidi" w:hAnsiTheme="minorBidi"/>
          <w:bCs/>
        </w:rPr>
        <w:t xml:space="preserve"> 35 mm to be followed 3 min</w:t>
      </w:r>
      <w:r w:rsidR="00CE5C10">
        <w:rPr>
          <w:rFonts w:asciiTheme="minorBidi" w:hAnsiTheme="minorBidi"/>
          <w:bCs/>
        </w:rPr>
        <w:t xml:space="preserve"> later by</w:t>
      </w:r>
      <w:r>
        <w:rPr>
          <w:rFonts w:asciiTheme="minorBidi" w:hAnsiTheme="minorBidi"/>
          <w:bCs/>
        </w:rPr>
        <w:t xml:space="preserve"> 40 mm balloon</w:t>
      </w:r>
      <w:r w:rsidR="00CE5C10">
        <w:rPr>
          <w:rFonts w:asciiTheme="minorBidi" w:hAnsiTheme="minorBidi"/>
          <w:bCs/>
        </w:rPr>
        <w:t xml:space="preserve"> dilation</w:t>
      </w:r>
      <w:r>
        <w:rPr>
          <w:rFonts w:asciiTheme="minorBidi" w:hAnsiTheme="minorBidi"/>
          <w:bCs/>
        </w:rPr>
        <w:t>, time of inflation should not less than 1 min.</w:t>
      </w:r>
      <w:r w:rsidR="00C07115">
        <w:rPr>
          <w:rFonts w:asciiTheme="minorBidi" w:hAnsiTheme="minorBidi"/>
          <w:bCs/>
        </w:rPr>
        <w:t xml:space="preserve"> </w:t>
      </w:r>
      <w:r w:rsidR="00C07115" w:rsidRPr="00C07115">
        <w:rPr>
          <w:rFonts w:asciiTheme="minorBidi" w:hAnsiTheme="minorBidi"/>
          <w:b/>
          <w:bCs/>
        </w:rPr>
        <w:t>(Figure 3 &amp; 4)</w:t>
      </w:r>
      <w:r w:rsidR="00C07115">
        <w:rPr>
          <w:rFonts w:asciiTheme="minorBidi" w:hAnsiTheme="minorBidi"/>
          <w:bCs/>
        </w:rPr>
        <w:t xml:space="preserve"> </w:t>
      </w:r>
    </w:p>
    <w:p w14:paraId="16C03A19" w14:textId="4ED790CA" w:rsidR="00AD70A6" w:rsidRPr="00EE2886" w:rsidRDefault="00AD70A6" w:rsidP="00A338AC">
      <w:pPr>
        <w:pStyle w:val="ListParagraph"/>
        <w:numPr>
          <w:ilvl w:val="0"/>
          <w:numId w:val="1"/>
        </w:numPr>
        <w:spacing w:line="360" w:lineRule="auto"/>
        <w:jc w:val="both"/>
        <w:rPr>
          <w:rFonts w:asciiTheme="minorBidi" w:hAnsiTheme="minorBidi"/>
          <w:bCs/>
        </w:rPr>
      </w:pPr>
      <w:r>
        <w:rPr>
          <w:rFonts w:asciiTheme="minorBidi" w:hAnsiTheme="minorBidi"/>
          <w:bCs/>
        </w:rPr>
        <w:t xml:space="preserve">Inspecting the cardia carefully after </w:t>
      </w:r>
      <w:r w:rsidR="00CE5C10">
        <w:rPr>
          <w:rFonts w:asciiTheme="minorBidi" w:hAnsiTheme="minorBidi"/>
          <w:bCs/>
        </w:rPr>
        <w:t xml:space="preserve">balloon </w:t>
      </w:r>
      <w:r>
        <w:rPr>
          <w:rFonts w:asciiTheme="minorBidi" w:hAnsiTheme="minorBidi"/>
          <w:bCs/>
        </w:rPr>
        <w:t>dilatation then retr</w:t>
      </w:r>
      <w:r w:rsidR="00CE5C10">
        <w:rPr>
          <w:rFonts w:asciiTheme="minorBidi" w:hAnsiTheme="minorBidi"/>
          <w:bCs/>
        </w:rPr>
        <w:t xml:space="preserve">oflexion of the scope and </w:t>
      </w:r>
      <w:r>
        <w:rPr>
          <w:rFonts w:asciiTheme="minorBidi" w:hAnsiTheme="minorBidi"/>
          <w:bCs/>
        </w:rPr>
        <w:t xml:space="preserve">inspecting the cardia and rinse it thoroughly with water then approaching the cardia carefully with the scope retro-flexed with right axis deviation by using the right –left </w:t>
      </w:r>
      <w:r w:rsidR="00B74F7F">
        <w:rPr>
          <w:rFonts w:asciiTheme="minorBidi" w:hAnsiTheme="minorBidi"/>
          <w:bCs/>
        </w:rPr>
        <w:t>knop</w:t>
      </w:r>
      <w:r>
        <w:rPr>
          <w:rFonts w:asciiTheme="minorBidi" w:hAnsiTheme="minorBidi"/>
          <w:bCs/>
        </w:rPr>
        <w:t xml:space="preserve"> of the scope </w:t>
      </w:r>
      <w:r w:rsidR="00B74F7F">
        <w:rPr>
          <w:rFonts w:asciiTheme="minorBidi" w:hAnsiTheme="minorBidi"/>
          <w:bCs/>
        </w:rPr>
        <w:t xml:space="preserve">and trying to gently insinuate the scope to the esophagus through the cardia but only 2/3 of the retroflexed portion (the maximum circumference of the semi-circular part) of the scope and not the entire endoscopic shaft so the semi-circular portion of the retroflexed part is kept dilating the cardia for about 30 seconds with rotating the scope in a gentle way 180 </w:t>
      </w:r>
      <w:r w:rsidR="00B74F7F">
        <w:rPr>
          <w:rFonts w:asciiTheme="minorBidi" w:hAnsiTheme="minorBidi"/>
          <w:bCs/>
          <w:vertAlign w:val="superscript"/>
        </w:rPr>
        <w:t>o</w:t>
      </w:r>
      <w:r w:rsidR="00B74F7F">
        <w:rPr>
          <w:rFonts w:asciiTheme="minorBidi" w:hAnsiTheme="minorBidi"/>
          <w:bCs/>
        </w:rPr>
        <w:t>C gently during this period using hand and bo</w:t>
      </w:r>
      <w:r w:rsidR="00E5698A">
        <w:rPr>
          <w:rFonts w:asciiTheme="minorBidi" w:hAnsiTheme="minorBidi"/>
          <w:bCs/>
        </w:rPr>
        <w:t>dy rotation to rotate the scope</w:t>
      </w:r>
      <w:r w:rsidR="00CE5C10">
        <w:rPr>
          <w:rFonts w:asciiTheme="minorBidi" w:hAnsiTheme="minorBidi"/>
          <w:bCs/>
        </w:rPr>
        <w:t xml:space="preserve"> and repeat it at least three time</w:t>
      </w:r>
      <w:r w:rsidR="00E5698A">
        <w:rPr>
          <w:rFonts w:asciiTheme="minorBidi" w:hAnsiTheme="minorBidi"/>
          <w:bCs/>
        </w:rPr>
        <w:t>. (</w:t>
      </w:r>
      <w:r w:rsidR="00C07115">
        <w:rPr>
          <w:rFonts w:asciiTheme="minorBidi" w:hAnsiTheme="minorBidi"/>
          <w:bCs/>
        </w:rPr>
        <w:t>The</w:t>
      </w:r>
      <w:r w:rsidR="00E5698A">
        <w:rPr>
          <w:rFonts w:asciiTheme="minorBidi" w:hAnsiTheme="minorBidi"/>
          <w:bCs/>
        </w:rPr>
        <w:t xml:space="preserve"> action is not allowed if there is a difficulty insinuating the retroflexed scope through the cardia).</w:t>
      </w:r>
      <w:r w:rsidR="00C07115">
        <w:rPr>
          <w:rFonts w:asciiTheme="minorBidi" w:hAnsiTheme="minorBidi"/>
          <w:bCs/>
        </w:rPr>
        <w:t xml:space="preserve"> </w:t>
      </w:r>
      <w:r w:rsidR="00C07115" w:rsidRPr="00C07115">
        <w:rPr>
          <w:rFonts w:asciiTheme="minorBidi" w:hAnsiTheme="minorBidi"/>
          <w:b/>
          <w:bCs/>
        </w:rPr>
        <w:t>(Figure 5 &amp; 6)</w:t>
      </w:r>
    </w:p>
    <w:p w14:paraId="70801CAC" w14:textId="7DDE9FE9" w:rsidR="00EE2886" w:rsidRPr="00EE2886" w:rsidRDefault="00EE2886" w:rsidP="00EE2886">
      <w:pPr>
        <w:spacing w:line="360" w:lineRule="auto"/>
        <w:jc w:val="both"/>
        <w:rPr>
          <w:rFonts w:asciiTheme="minorBidi" w:hAnsiTheme="minorBidi"/>
          <w:bCs/>
        </w:rPr>
      </w:pPr>
      <w:r>
        <w:rPr>
          <w:rFonts w:asciiTheme="minorBidi" w:hAnsiTheme="minorBidi"/>
          <w:bCs/>
        </w:rPr>
        <w:t xml:space="preserve">Finally good endoscopic inspection of the dilated lower esophageal sphincter must be done for detecting any complications mainly bleeding or perforation, so we recommended better rinsing with methylene blue to exclude any area of perforation that was done for all cases after dilatation. </w:t>
      </w:r>
      <w:r w:rsidRPr="00EE2886">
        <w:rPr>
          <w:rFonts w:asciiTheme="minorBidi" w:hAnsiTheme="minorBidi"/>
          <w:b/>
          <w:bCs/>
        </w:rPr>
        <w:t>(Figure 7,8,9)</w:t>
      </w:r>
      <w:r>
        <w:rPr>
          <w:rFonts w:asciiTheme="minorBidi" w:hAnsiTheme="minorBidi"/>
          <w:bCs/>
        </w:rPr>
        <w:t xml:space="preserve">  </w:t>
      </w:r>
    </w:p>
    <w:p w14:paraId="5CC3A454" w14:textId="001428D2" w:rsidR="00E5698A" w:rsidRDefault="00E5698A" w:rsidP="00EE2886">
      <w:pPr>
        <w:spacing w:line="360" w:lineRule="auto"/>
        <w:jc w:val="both"/>
        <w:rPr>
          <w:rFonts w:asciiTheme="minorBidi" w:hAnsiTheme="minorBidi"/>
          <w:bCs/>
        </w:rPr>
      </w:pPr>
      <w:r>
        <w:rPr>
          <w:rFonts w:asciiTheme="minorBidi" w:hAnsiTheme="minorBidi"/>
          <w:bCs/>
        </w:rPr>
        <w:t xml:space="preserve">All patients post-endoscopically </w:t>
      </w:r>
      <w:r w:rsidR="00BC7852">
        <w:rPr>
          <w:rFonts w:asciiTheme="minorBidi" w:hAnsiTheme="minorBidi"/>
          <w:bCs/>
        </w:rPr>
        <w:t>w</w:t>
      </w:r>
      <w:r w:rsidR="00CE5C10">
        <w:rPr>
          <w:rFonts w:asciiTheme="minorBidi" w:hAnsiTheme="minorBidi"/>
          <w:bCs/>
        </w:rPr>
        <w:t xml:space="preserve">ere </w:t>
      </w:r>
      <w:r w:rsidR="00BC7852">
        <w:rPr>
          <w:rFonts w:asciiTheme="minorBidi" w:hAnsiTheme="minorBidi"/>
          <w:bCs/>
        </w:rPr>
        <w:t>discharge</w:t>
      </w:r>
      <w:r w:rsidR="00CE5C10">
        <w:rPr>
          <w:rFonts w:asciiTheme="minorBidi" w:hAnsiTheme="minorBidi"/>
          <w:bCs/>
        </w:rPr>
        <w:t>d</w:t>
      </w:r>
      <w:r>
        <w:rPr>
          <w:rFonts w:asciiTheme="minorBidi" w:hAnsiTheme="minorBidi"/>
          <w:bCs/>
        </w:rPr>
        <w:t xml:space="preserve"> after 2 hours observation, allowed for clear fluid drinking after 4 hours for 24 hours then semisolid fluid for the next 48 hours and then normal eating but avoiding spicy or fatty meal for at least one month.</w:t>
      </w:r>
    </w:p>
    <w:p w14:paraId="639F3DC8" w14:textId="52A5EB52" w:rsidR="001B06FE" w:rsidRPr="001B06FE" w:rsidRDefault="00E5698A" w:rsidP="00EE2886">
      <w:pPr>
        <w:spacing w:line="360" w:lineRule="auto"/>
        <w:jc w:val="both"/>
        <w:rPr>
          <w:rFonts w:asciiTheme="minorBidi" w:hAnsiTheme="minorBidi"/>
          <w:bCs/>
        </w:rPr>
      </w:pPr>
      <w:r>
        <w:rPr>
          <w:rFonts w:asciiTheme="minorBidi" w:hAnsiTheme="minorBidi"/>
          <w:bCs/>
        </w:rPr>
        <w:lastRenderedPageBreak/>
        <w:t xml:space="preserve">Topical fluticasone 2 puff on ½ </w:t>
      </w:r>
      <w:r w:rsidR="00A338AC">
        <w:rPr>
          <w:rFonts w:asciiTheme="minorBidi" w:hAnsiTheme="minorBidi"/>
          <w:bCs/>
        </w:rPr>
        <w:t>glass</w:t>
      </w:r>
      <w:r>
        <w:rPr>
          <w:rFonts w:asciiTheme="minorBidi" w:hAnsiTheme="minorBidi"/>
          <w:bCs/>
        </w:rPr>
        <w:t xml:space="preserve"> of water twice daily one hour before breakfast &amp; before sleep for 2 months then twice weekly, and continue on Nitroglycerine 2.5 mg twice daily for rest of their life with rifaximin 550 mg once daily.</w:t>
      </w:r>
    </w:p>
    <w:p w14:paraId="2888166C" w14:textId="77777777" w:rsidR="00E20CC9" w:rsidRDefault="00465BD1" w:rsidP="00EE2886">
      <w:pPr>
        <w:spacing w:line="360" w:lineRule="auto"/>
        <w:jc w:val="both"/>
        <w:rPr>
          <w:rFonts w:asciiTheme="minorBidi" w:hAnsiTheme="minorBidi"/>
          <w:bCs/>
        </w:rPr>
      </w:pPr>
      <w:r w:rsidRPr="00050323">
        <w:rPr>
          <w:rFonts w:asciiTheme="minorBidi" w:hAnsiTheme="minorBidi"/>
          <w:b/>
          <w:bCs/>
          <w:u w:val="single"/>
        </w:rPr>
        <w:t>Results:</w:t>
      </w:r>
      <w:r w:rsidR="006F5F64" w:rsidRPr="00050323">
        <w:rPr>
          <w:rFonts w:asciiTheme="minorBidi" w:hAnsiTheme="minorBidi"/>
          <w:b/>
          <w:bCs/>
          <w:u w:val="single"/>
        </w:rPr>
        <w:t xml:space="preserve"> </w:t>
      </w:r>
      <w:r w:rsidR="006F5F64" w:rsidRPr="00050323">
        <w:rPr>
          <w:rFonts w:asciiTheme="minorBidi" w:hAnsiTheme="minorBidi"/>
          <w:bCs/>
        </w:rPr>
        <w:t xml:space="preserve"> </w:t>
      </w:r>
    </w:p>
    <w:p w14:paraId="24DD3A46" w14:textId="746EE4DF" w:rsidR="00E20CC9" w:rsidRDefault="00E20CC9" w:rsidP="00E20CC9">
      <w:pPr>
        <w:spacing w:line="360" w:lineRule="auto"/>
        <w:jc w:val="both"/>
        <w:rPr>
          <w:rFonts w:asciiTheme="minorBidi" w:hAnsiTheme="minorBidi"/>
        </w:rPr>
      </w:pPr>
      <w:r>
        <w:rPr>
          <w:rFonts w:asciiTheme="minorBidi" w:hAnsiTheme="minorBidi"/>
        </w:rPr>
        <w:t xml:space="preserve">All included patients were naïve patients without previous endoscopic or surgical treatment for </w:t>
      </w:r>
      <w:r w:rsidR="00CE5C10">
        <w:rPr>
          <w:rFonts w:asciiTheme="minorBidi" w:hAnsiTheme="minorBidi"/>
        </w:rPr>
        <w:t>AC</w:t>
      </w:r>
      <w:r>
        <w:rPr>
          <w:rFonts w:asciiTheme="minorBidi" w:hAnsiTheme="minorBidi"/>
        </w:rPr>
        <w:t xml:space="preserve">, except one case was complicated Post Heller laparoscopic myotomy which was done 15 years ago and encountered uncontrolled operative bleeding and controlled intra-operatively, 6 months later she developed severe dysphagia more to solid but also to fluids and CT with barium study revealed severe lower iatrogenic esophageal stricture, this stricture was very tight and multiple endoscopic sessions failed to pass the scope beyond the stricture except after pneumatic dilatation reaching up to 20 mm by CRE balloon. However the condition was recurrent within few days from the dilatation without any improvement and surgical consultation recommended repeated dilatation sessions, as the risk of operation was high and </w:t>
      </w:r>
      <w:r w:rsidR="009327BF">
        <w:rPr>
          <w:rFonts w:asciiTheme="minorBidi" w:hAnsiTheme="minorBidi"/>
        </w:rPr>
        <w:t xml:space="preserve">for </w:t>
      </w:r>
      <w:r>
        <w:rPr>
          <w:rFonts w:asciiTheme="minorBidi" w:hAnsiTheme="minorBidi"/>
        </w:rPr>
        <w:t xml:space="preserve">surgical difficulty of the procedure. </w:t>
      </w:r>
    </w:p>
    <w:p w14:paraId="77236B6D" w14:textId="426A27A0" w:rsidR="00E20CC9" w:rsidRDefault="009327BF" w:rsidP="00EE2886">
      <w:pPr>
        <w:spacing w:line="360" w:lineRule="auto"/>
        <w:jc w:val="both"/>
        <w:rPr>
          <w:rFonts w:asciiTheme="minorBidi" w:hAnsiTheme="minorBidi"/>
        </w:rPr>
      </w:pPr>
      <w:r>
        <w:rPr>
          <w:rFonts w:asciiTheme="minorBidi" w:hAnsiTheme="minorBidi"/>
        </w:rPr>
        <w:t xml:space="preserve">All </w:t>
      </w:r>
      <w:r w:rsidR="00E20CC9">
        <w:rPr>
          <w:rFonts w:asciiTheme="minorBidi" w:hAnsiTheme="minorBidi"/>
        </w:rPr>
        <w:t xml:space="preserve">patients received medical treatment for Achalasia </w:t>
      </w:r>
      <w:r w:rsidR="00BC7852">
        <w:rPr>
          <w:rFonts w:asciiTheme="minorBidi" w:hAnsiTheme="minorBidi"/>
        </w:rPr>
        <w:t>before proceeding to COMBO in the form of nitroglycerine at least for 3 weeks and COMBO was used for those who did not show significant improvement of medical treatment</w:t>
      </w:r>
    </w:p>
    <w:p w14:paraId="433CBEFA" w14:textId="77777777" w:rsidR="00BC7852" w:rsidRPr="00E20CC9" w:rsidRDefault="00BC7852" w:rsidP="00BC7852">
      <w:pPr>
        <w:spacing w:line="360" w:lineRule="auto"/>
        <w:jc w:val="both"/>
        <w:rPr>
          <w:rFonts w:asciiTheme="minorBidi" w:hAnsiTheme="minorBidi"/>
        </w:rPr>
      </w:pPr>
      <w:r>
        <w:rPr>
          <w:rFonts w:asciiTheme="minorBidi" w:hAnsiTheme="minorBidi"/>
        </w:rPr>
        <w:t>44 patients showed no improvement to medical treatment out of 53 patients and those who were subjected to COMBO endoscopic method to treat achalasia.</w:t>
      </w:r>
    </w:p>
    <w:p w14:paraId="02115443" w14:textId="07D0FA6A" w:rsidR="00050323" w:rsidRPr="00050323" w:rsidRDefault="006F5F64" w:rsidP="00EE2886">
      <w:pPr>
        <w:spacing w:line="360" w:lineRule="auto"/>
        <w:jc w:val="both"/>
        <w:rPr>
          <w:rFonts w:asciiTheme="minorBidi" w:hAnsiTheme="minorBidi"/>
          <w:bCs/>
        </w:rPr>
      </w:pPr>
      <w:r w:rsidRPr="00050323">
        <w:rPr>
          <w:rFonts w:asciiTheme="minorBidi" w:hAnsiTheme="minorBidi"/>
          <w:bCs/>
        </w:rPr>
        <w:t>The Combo endoscopic method showed a very good and satisfactory response in 42</w:t>
      </w:r>
      <w:r w:rsidR="00050323">
        <w:rPr>
          <w:rFonts w:asciiTheme="minorBidi" w:hAnsiTheme="minorBidi"/>
          <w:bCs/>
        </w:rPr>
        <w:t>/44</w:t>
      </w:r>
      <w:r w:rsidRPr="00050323">
        <w:rPr>
          <w:rFonts w:asciiTheme="minorBidi" w:hAnsiTheme="minorBidi"/>
          <w:bCs/>
        </w:rPr>
        <w:t xml:space="preserve"> </w:t>
      </w:r>
      <w:r w:rsidR="00F0553A">
        <w:rPr>
          <w:rFonts w:asciiTheme="minorBidi" w:hAnsiTheme="minorBidi"/>
          <w:bCs/>
        </w:rPr>
        <w:t xml:space="preserve">of patients (response rate 95.5%) </w:t>
      </w:r>
      <w:r w:rsidRPr="00050323">
        <w:rPr>
          <w:rFonts w:asciiTheme="minorBidi" w:hAnsiTheme="minorBidi"/>
          <w:bCs/>
        </w:rPr>
        <w:t xml:space="preserve">form the first session with a follow up period ranging from </w:t>
      </w:r>
      <w:r w:rsidR="00050323" w:rsidRPr="00050323">
        <w:rPr>
          <w:rFonts w:asciiTheme="minorBidi" w:hAnsiTheme="minorBidi"/>
          <w:bCs/>
        </w:rPr>
        <w:t>at least 48 weeks to maximum of 240 weeks.</w:t>
      </w:r>
    </w:p>
    <w:p w14:paraId="0AA9001F" w14:textId="7D7EF166" w:rsidR="00F0553A" w:rsidRDefault="00F0553A" w:rsidP="00EE2886">
      <w:pPr>
        <w:spacing w:line="360" w:lineRule="auto"/>
        <w:jc w:val="both"/>
        <w:rPr>
          <w:rFonts w:asciiTheme="minorBidi" w:hAnsiTheme="minorBidi"/>
          <w:bCs/>
        </w:rPr>
      </w:pPr>
      <w:r w:rsidRPr="00050323">
        <w:rPr>
          <w:rFonts w:asciiTheme="minorBidi" w:hAnsiTheme="minorBidi"/>
          <w:bCs/>
        </w:rPr>
        <w:t>A</w:t>
      </w:r>
      <w:r w:rsidR="00050323" w:rsidRPr="00050323">
        <w:rPr>
          <w:rFonts w:asciiTheme="minorBidi" w:hAnsiTheme="minorBidi"/>
          <w:bCs/>
        </w:rPr>
        <w:t>ll</w:t>
      </w:r>
      <w:r>
        <w:rPr>
          <w:rFonts w:asciiTheme="minorBidi" w:hAnsiTheme="minorBidi"/>
          <w:bCs/>
        </w:rPr>
        <w:t xml:space="preserve"> Patients</w:t>
      </w:r>
      <w:r w:rsidR="00050323" w:rsidRPr="00050323">
        <w:rPr>
          <w:rFonts w:asciiTheme="minorBidi" w:hAnsiTheme="minorBidi"/>
          <w:bCs/>
        </w:rPr>
        <w:t xml:space="preserve"> showed significant improvement of almost all the clinical symptoms especially dysphagia, regurgitation, choking</w:t>
      </w:r>
      <w:r w:rsidR="009327BF">
        <w:rPr>
          <w:rFonts w:asciiTheme="minorBidi" w:hAnsiTheme="minorBidi"/>
          <w:bCs/>
        </w:rPr>
        <w:t>, loss of weight</w:t>
      </w:r>
      <w:r w:rsidR="00050323" w:rsidRPr="00050323">
        <w:rPr>
          <w:rFonts w:asciiTheme="minorBidi" w:hAnsiTheme="minorBidi"/>
          <w:bCs/>
        </w:rPr>
        <w:t xml:space="preserve"> and postprandial vomiting</w:t>
      </w:r>
      <w:r w:rsidR="00F95148">
        <w:rPr>
          <w:rFonts w:asciiTheme="minorBidi" w:hAnsiTheme="minorBidi"/>
          <w:bCs/>
        </w:rPr>
        <w:t xml:space="preserve"> even the patient who experienced iatrogenic post Heller myotomy (follow up 50 weeks</w:t>
      </w:r>
      <w:r w:rsidR="0010170D">
        <w:rPr>
          <w:rFonts w:asciiTheme="minorBidi" w:hAnsiTheme="minorBidi"/>
          <w:bCs/>
        </w:rPr>
        <w:t>),</w:t>
      </w:r>
      <w:r w:rsidR="00050323" w:rsidRPr="00050323">
        <w:rPr>
          <w:rFonts w:asciiTheme="minorBidi" w:hAnsiTheme="minorBidi"/>
          <w:bCs/>
        </w:rPr>
        <w:t xml:space="preserve"> 8</w:t>
      </w:r>
      <w:r w:rsidR="00050323">
        <w:rPr>
          <w:rFonts w:asciiTheme="minorBidi" w:hAnsiTheme="minorBidi"/>
          <w:bCs/>
        </w:rPr>
        <w:t>/44</w:t>
      </w:r>
      <w:r w:rsidR="00050323" w:rsidRPr="00050323">
        <w:rPr>
          <w:rFonts w:asciiTheme="minorBidi" w:hAnsiTheme="minorBidi"/>
          <w:bCs/>
        </w:rPr>
        <w:t xml:space="preserve"> </w:t>
      </w:r>
      <w:r>
        <w:rPr>
          <w:rFonts w:asciiTheme="minorBidi" w:hAnsiTheme="minorBidi"/>
          <w:bCs/>
        </w:rPr>
        <w:t xml:space="preserve">(18.1%) </w:t>
      </w:r>
      <w:r w:rsidR="00050323" w:rsidRPr="00050323">
        <w:rPr>
          <w:rFonts w:asciiTheme="minorBidi" w:hAnsiTheme="minorBidi"/>
          <w:bCs/>
        </w:rPr>
        <w:t>patients still experience</w:t>
      </w:r>
      <w:r w:rsidR="00752287">
        <w:rPr>
          <w:rFonts w:asciiTheme="minorBidi" w:hAnsiTheme="minorBidi"/>
          <w:bCs/>
        </w:rPr>
        <w:t>d infrequent non-annoying dysphagia</w:t>
      </w:r>
      <w:r>
        <w:rPr>
          <w:rFonts w:asciiTheme="minorBidi" w:hAnsiTheme="minorBidi"/>
          <w:bCs/>
        </w:rPr>
        <w:t>, 12/44 (27.2%) suffered intermittent heart burn and mild regurge.</w:t>
      </w:r>
      <w:r w:rsidR="003C731D">
        <w:rPr>
          <w:rFonts w:asciiTheme="minorBidi" w:hAnsiTheme="minorBidi"/>
          <w:bCs/>
        </w:rPr>
        <w:t xml:space="preserve"> </w:t>
      </w:r>
      <w:r w:rsidR="003C731D" w:rsidRPr="003C731D">
        <w:rPr>
          <w:rFonts w:asciiTheme="minorBidi" w:hAnsiTheme="minorBidi"/>
          <w:b/>
          <w:bCs/>
        </w:rPr>
        <w:t>(Table A)</w:t>
      </w:r>
    </w:p>
    <w:p w14:paraId="0CCA116B" w14:textId="77777777" w:rsidR="00BC7852" w:rsidRDefault="00F0553A" w:rsidP="00BC7852">
      <w:pPr>
        <w:spacing w:line="360" w:lineRule="auto"/>
        <w:jc w:val="both"/>
        <w:rPr>
          <w:rFonts w:asciiTheme="minorBidi" w:hAnsiTheme="minorBidi"/>
          <w:bCs/>
        </w:rPr>
      </w:pPr>
      <w:r>
        <w:rPr>
          <w:rFonts w:asciiTheme="minorBidi" w:hAnsiTheme="minorBidi"/>
          <w:bCs/>
        </w:rPr>
        <w:t xml:space="preserve">No complications were reported during or after the procedure as perforation or bleeding.  </w:t>
      </w:r>
    </w:p>
    <w:p w14:paraId="116AB0F6" w14:textId="4C67BCD5" w:rsidR="00BC7852" w:rsidRDefault="00B437ED" w:rsidP="00BC7852">
      <w:pPr>
        <w:spacing w:line="360" w:lineRule="auto"/>
        <w:jc w:val="both"/>
        <w:rPr>
          <w:rFonts w:asciiTheme="minorBidi" w:hAnsiTheme="minorBidi"/>
          <w:bCs/>
        </w:rPr>
      </w:pPr>
      <w:r>
        <w:rPr>
          <w:rFonts w:asciiTheme="minorBidi" w:hAnsiTheme="minorBidi"/>
          <w:bCs/>
        </w:rPr>
        <w:t>The age of the patients included in this</w:t>
      </w:r>
      <w:r w:rsidR="00B01F78">
        <w:rPr>
          <w:rFonts w:asciiTheme="minorBidi" w:hAnsiTheme="minorBidi"/>
          <w:bCs/>
        </w:rPr>
        <w:t xml:space="preserve"> study</w:t>
      </w:r>
      <w:r>
        <w:rPr>
          <w:rFonts w:asciiTheme="minorBidi" w:hAnsiTheme="minorBidi"/>
          <w:bCs/>
        </w:rPr>
        <w:t xml:space="preserve"> was</w:t>
      </w:r>
      <w:r w:rsidR="0016754F">
        <w:rPr>
          <w:rFonts w:asciiTheme="minorBidi" w:hAnsiTheme="minorBidi"/>
          <w:bCs/>
        </w:rPr>
        <w:t xml:space="preserve"> ranging from</w:t>
      </w:r>
      <w:r>
        <w:rPr>
          <w:rFonts w:asciiTheme="minorBidi" w:hAnsiTheme="minorBidi"/>
          <w:bCs/>
        </w:rPr>
        <w:t xml:space="preserve"> </w:t>
      </w:r>
      <w:r w:rsidR="00B01F78">
        <w:rPr>
          <w:rFonts w:asciiTheme="minorBidi" w:hAnsiTheme="minorBidi"/>
          <w:bCs/>
        </w:rPr>
        <w:t xml:space="preserve">16 years to </w:t>
      </w:r>
      <w:r w:rsidR="0016754F">
        <w:rPr>
          <w:rFonts w:asciiTheme="minorBidi" w:hAnsiTheme="minorBidi"/>
          <w:bCs/>
        </w:rPr>
        <w:t>81 years (Mean</w:t>
      </w:r>
      <w:r w:rsidR="00E24026">
        <w:rPr>
          <w:rFonts w:asciiTheme="minorBidi" w:hAnsiTheme="minorBidi"/>
          <w:bCs/>
        </w:rPr>
        <w:t>=</w:t>
      </w:r>
      <w:r w:rsidR="00610652">
        <w:rPr>
          <w:rFonts w:asciiTheme="minorBidi" w:hAnsiTheme="minorBidi"/>
          <w:bCs/>
        </w:rPr>
        <w:t xml:space="preserve"> 48.5, SD= 45.96</w:t>
      </w:r>
      <w:r w:rsidR="0016754F">
        <w:rPr>
          <w:rFonts w:asciiTheme="minorBidi" w:hAnsiTheme="minorBidi"/>
          <w:bCs/>
        </w:rPr>
        <w:t>), regarding sex</w:t>
      </w:r>
      <w:r w:rsidR="00B01F78">
        <w:rPr>
          <w:rFonts w:asciiTheme="minorBidi" w:hAnsiTheme="minorBidi"/>
          <w:bCs/>
        </w:rPr>
        <w:t>,</w:t>
      </w:r>
      <w:r w:rsidR="0016754F">
        <w:rPr>
          <w:rFonts w:asciiTheme="minorBidi" w:hAnsiTheme="minorBidi"/>
          <w:bCs/>
        </w:rPr>
        <w:t xml:space="preserve"> 39 patients were male and 5 patients were female</w:t>
      </w:r>
      <w:r w:rsidR="00610652">
        <w:rPr>
          <w:rFonts w:asciiTheme="minorBidi" w:hAnsiTheme="minorBidi"/>
          <w:bCs/>
        </w:rPr>
        <w:t xml:space="preserve"> (mean=22, </w:t>
      </w:r>
      <w:r w:rsidR="00610652">
        <w:rPr>
          <w:rFonts w:asciiTheme="minorBidi" w:hAnsiTheme="minorBidi"/>
          <w:bCs/>
        </w:rPr>
        <w:lastRenderedPageBreak/>
        <w:t>SD</w:t>
      </w:r>
      <w:r w:rsidR="00E24026">
        <w:rPr>
          <w:rFonts w:asciiTheme="minorBidi" w:hAnsiTheme="minorBidi"/>
          <w:bCs/>
        </w:rPr>
        <w:t>=17)</w:t>
      </w:r>
      <w:r w:rsidR="0016754F">
        <w:rPr>
          <w:rFonts w:asciiTheme="minorBidi" w:hAnsiTheme="minorBidi"/>
          <w:bCs/>
        </w:rPr>
        <w:t>, Follo</w:t>
      </w:r>
      <w:r w:rsidR="00B01F78">
        <w:rPr>
          <w:rFonts w:asciiTheme="minorBidi" w:hAnsiTheme="minorBidi"/>
          <w:bCs/>
        </w:rPr>
        <w:t xml:space="preserve">w up period </w:t>
      </w:r>
      <w:r w:rsidR="007D606C">
        <w:rPr>
          <w:rFonts w:asciiTheme="minorBidi" w:hAnsiTheme="minorBidi"/>
          <w:bCs/>
        </w:rPr>
        <w:t>ranged</w:t>
      </w:r>
      <w:r w:rsidR="00610652">
        <w:rPr>
          <w:rFonts w:asciiTheme="minorBidi" w:hAnsiTheme="minorBidi"/>
          <w:bCs/>
        </w:rPr>
        <w:t xml:space="preserve"> from 240</w:t>
      </w:r>
      <w:r w:rsidR="0016754F">
        <w:rPr>
          <w:rFonts w:asciiTheme="minorBidi" w:hAnsiTheme="minorBidi"/>
          <w:bCs/>
        </w:rPr>
        <w:t xml:space="preserve"> weeks –</w:t>
      </w:r>
      <w:r w:rsidR="00610652">
        <w:rPr>
          <w:rFonts w:asciiTheme="minorBidi" w:hAnsiTheme="minorBidi"/>
          <w:bCs/>
        </w:rPr>
        <w:t xml:space="preserve"> 48 weeks (mean=</w:t>
      </w:r>
      <w:r w:rsidR="00152672">
        <w:rPr>
          <w:rFonts w:asciiTheme="minorBidi" w:hAnsiTheme="minorBidi"/>
          <w:bCs/>
        </w:rPr>
        <w:t>144,</w:t>
      </w:r>
      <w:r w:rsidR="00610652">
        <w:rPr>
          <w:rFonts w:asciiTheme="minorBidi" w:hAnsiTheme="minorBidi"/>
          <w:bCs/>
        </w:rPr>
        <w:t xml:space="preserve"> SD</w:t>
      </w:r>
      <w:r w:rsidR="00152672">
        <w:rPr>
          <w:rFonts w:asciiTheme="minorBidi" w:hAnsiTheme="minorBidi"/>
          <w:bCs/>
        </w:rPr>
        <w:t>= 135.7),</w:t>
      </w:r>
      <w:r w:rsidR="0016754F">
        <w:rPr>
          <w:rFonts w:asciiTheme="minorBidi" w:hAnsiTheme="minorBidi"/>
          <w:bCs/>
        </w:rPr>
        <w:t xml:space="preserve"> </w:t>
      </w:r>
      <w:r w:rsidR="005C7EFB" w:rsidRPr="005C7EFB">
        <w:rPr>
          <w:rFonts w:asciiTheme="minorBidi" w:hAnsiTheme="minorBidi"/>
          <w:b/>
          <w:bCs/>
        </w:rPr>
        <w:t xml:space="preserve">(Table 2), </w:t>
      </w:r>
      <w:r w:rsidR="00BC7852">
        <w:rPr>
          <w:rFonts w:asciiTheme="minorBidi" w:hAnsiTheme="minorBidi"/>
          <w:bCs/>
        </w:rPr>
        <w:t xml:space="preserve">five years </w:t>
      </w:r>
      <w:r w:rsidR="0016754F">
        <w:rPr>
          <w:rFonts w:asciiTheme="minorBidi" w:hAnsiTheme="minorBidi"/>
          <w:bCs/>
        </w:rPr>
        <w:t xml:space="preserve">Follow up was encountered </w:t>
      </w:r>
      <w:r w:rsidR="00BC7852">
        <w:rPr>
          <w:rFonts w:asciiTheme="minorBidi" w:hAnsiTheme="minorBidi"/>
          <w:bCs/>
        </w:rPr>
        <w:t>in 26/44 (59%), 10/44 patients (22.7%) encountered four years follow up period, three years follow up was 3/44 (6.8%), whereas as a follow up of at least 48 weeks was for 5/44 patients (11.3%).</w:t>
      </w:r>
    </w:p>
    <w:p w14:paraId="59FE35C8" w14:textId="166A8CB3" w:rsidR="00B01F78" w:rsidRDefault="00B01F78" w:rsidP="00BC7852">
      <w:pPr>
        <w:spacing w:line="360" w:lineRule="auto"/>
        <w:jc w:val="both"/>
        <w:rPr>
          <w:rFonts w:asciiTheme="minorBidi" w:hAnsiTheme="minorBidi"/>
          <w:bCs/>
        </w:rPr>
      </w:pPr>
      <w:r>
        <w:rPr>
          <w:rFonts w:asciiTheme="minorBidi" w:hAnsiTheme="minorBidi"/>
          <w:bCs/>
        </w:rPr>
        <w:t>The most common associated comorbidities among the studied patients were diabetes mellitus 7/44 (15.9%), ischemic heart diseases 16/44 (36.3%), these comorbidities didn’t influence</w:t>
      </w:r>
      <w:r w:rsidR="00506CF3">
        <w:rPr>
          <w:rFonts w:asciiTheme="minorBidi" w:hAnsiTheme="minorBidi"/>
          <w:bCs/>
        </w:rPr>
        <w:t xml:space="preserve"> the response for the treatment.</w:t>
      </w:r>
    </w:p>
    <w:p w14:paraId="79F47EA2" w14:textId="250C65D0" w:rsidR="00050323" w:rsidRDefault="00050323" w:rsidP="00EE2886">
      <w:pPr>
        <w:spacing w:line="360" w:lineRule="auto"/>
        <w:jc w:val="both"/>
        <w:rPr>
          <w:rFonts w:asciiTheme="minorBidi" w:hAnsiTheme="minorBidi"/>
          <w:bCs/>
        </w:rPr>
      </w:pPr>
      <w:r>
        <w:rPr>
          <w:rFonts w:asciiTheme="minorBidi" w:hAnsiTheme="minorBidi"/>
          <w:bCs/>
        </w:rPr>
        <w:t xml:space="preserve">One </w:t>
      </w:r>
      <w:r w:rsidR="009327BF">
        <w:rPr>
          <w:rFonts w:asciiTheme="minorBidi" w:hAnsiTheme="minorBidi"/>
          <w:bCs/>
        </w:rPr>
        <w:t xml:space="preserve">male </w:t>
      </w:r>
      <w:r>
        <w:rPr>
          <w:rFonts w:asciiTheme="minorBidi" w:hAnsiTheme="minorBidi"/>
          <w:bCs/>
        </w:rPr>
        <w:t xml:space="preserve">patient </w:t>
      </w:r>
      <w:r w:rsidR="00506CF3">
        <w:rPr>
          <w:rFonts w:asciiTheme="minorBidi" w:hAnsiTheme="minorBidi"/>
          <w:bCs/>
        </w:rPr>
        <w:t xml:space="preserve">aged 45 years old without associated comorbidities </w:t>
      </w:r>
      <w:r>
        <w:rPr>
          <w:rFonts w:asciiTheme="minorBidi" w:hAnsiTheme="minorBidi"/>
          <w:bCs/>
        </w:rPr>
        <w:t>showed mild recurrence of dysphagia and vomiting 96 weeks from COMBO procedure and follow up CT barium swallow documented ease flow of barium and endoscopy was passed with minimal resistance and was subjected to only Retro-flexed scope endoscopic dilatation and showed no recurrence till now (40 weeks)</w:t>
      </w:r>
    </w:p>
    <w:p w14:paraId="445FE0FD" w14:textId="36117048" w:rsidR="00050323" w:rsidRDefault="00050323" w:rsidP="00EE2886">
      <w:pPr>
        <w:spacing w:line="360" w:lineRule="auto"/>
        <w:jc w:val="both"/>
        <w:rPr>
          <w:rFonts w:asciiTheme="minorBidi" w:hAnsiTheme="minorBidi"/>
          <w:bCs/>
        </w:rPr>
      </w:pPr>
      <w:r>
        <w:rPr>
          <w:rFonts w:asciiTheme="minorBidi" w:hAnsiTheme="minorBidi"/>
          <w:bCs/>
        </w:rPr>
        <w:t xml:space="preserve">Only one patient did not experienced any </w:t>
      </w:r>
      <w:r w:rsidR="0096136D">
        <w:rPr>
          <w:rFonts w:asciiTheme="minorBidi" w:hAnsiTheme="minorBidi"/>
          <w:bCs/>
        </w:rPr>
        <w:t xml:space="preserve">significant improvement to the procedure and recurrence </w:t>
      </w:r>
      <w:r w:rsidR="00506CF3">
        <w:rPr>
          <w:rFonts w:asciiTheme="minorBidi" w:hAnsiTheme="minorBidi"/>
          <w:bCs/>
        </w:rPr>
        <w:t>was 14 days after the procedure, but the most noted observation that this patient was the youngest patient included in this study (16 years old) and referred to surgery after Manometry that showed it is type 3 Achalasia, which is the type frequently encountering resistance to the treatment.</w:t>
      </w:r>
    </w:p>
    <w:p w14:paraId="7980A8F9" w14:textId="6653512C" w:rsidR="00465BD1" w:rsidRDefault="00465BD1" w:rsidP="00EE2886">
      <w:pPr>
        <w:spacing w:line="360" w:lineRule="auto"/>
        <w:jc w:val="both"/>
        <w:rPr>
          <w:rFonts w:asciiTheme="minorBidi" w:hAnsiTheme="minorBidi"/>
          <w:b/>
          <w:bCs/>
          <w:sz w:val="24"/>
          <w:szCs w:val="24"/>
          <w:u w:val="single"/>
        </w:rPr>
      </w:pPr>
      <w:r w:rsidRPr="003C2821">
        <w:rPr>
          <w:rFonts w:asciiTheme="minorBidi" w:hAnsiTheme="minorBidi"/>
          <w:b/>
          <w:bCs/>
          <w:sz w:val="24"/>
          <w:szCs w:val="24"/>
          <w:u w:val="single"/>
        </w:rPr>
        <w:t xml:space="preserve">Discussion: </w:t>
      </w:r>
      <w:r w:rsidR="00C07115">
        <w:rPr>
          <w:rFonts w:asciiTheme="minorBidi" w:hAnsiTheme="minorBidi"/>
          <w:b/>
          <w:bCs/>
          <w:sz w:val="24"/>
          <w:szCs w:val="24"/>
          <w:u w:val="single"/>
        </w:rPr>
        <w:t xml:space="preserve"> </w:t>
      </w:r>
    </w:p>
    <w:p w14:paraId="2681B408" w14:textId="2CDBA04B" w:rsidR="006112DC" w:rsidRDefault="00B437ED" w:rsidP="00EE2886">
      <w:pPr>
        <w:spacing w:line="360" w:lineRule="auto"/>
        <w:jc w:val="both"/>
        <w:rPr>
          <w:rFonts w:asciiTheme="minorBidi" w:hAnsiTheme="minorBidi"/>
          <w:bCs/>
        </w:rPr>
      </w:pPr>
      <w:r>
        <w:rPr>
          <w:rFonts w:asciiTheme="minorBidi" w:hAnsiTheme="minorBidi"/>
          <w:bCs/>
        </w:rPr>
        <w:t xml:space="preserve">The novel steps in this study was the add on of a novel step of mechanical dilatation with relatively larger diameter retroflexed scope, which offers more mechanical tension of the esophageal smooth muscle and hence more tearing effects, resulting in a very satisfactory dilatation with response rate almost reaching 95%, especially </w:t>
      </w:r>
      <w:r w:rsidR="006112DC">
        <w:rPr>
          <w:rFonts w:asciiTheme="minorBidi" w:hAnsiTheme="minorBidi"/>
          <w:bCs/>
        </w:rPr>
        <w:t xml:space="preserve">if it is done in the same endoscopic setting </w:t>
      </w:r>
      <w:r w:rsidR="009327BF">
        <w:rPr>
          <w:rFonts w:asciiTheme="minorBidi" w:hAnsiTheme="minorBidi"/>
          <w:bCs/>
        </w:rPr>
        <w:t>(</w:t>
      </w:r>
      <w:r>
        <w:rPr>
          <w:rFonts w:asciiTheme="minorBidi" w:hAnsiTheme="minorBidi"/>
          <w:bCs/>
        </w:rPr>
        <w:t>combined by injection and dilatation</w:t>
      </w:r>
      <w:r w:rsidR="009327BF">
        <w:rPr>
          <w:rFonts w:asciiTheme="minorBidi" w:hAnsiTheme="minorBidi"/>
          <w:bCs/>
        </w:rPr>
        <w:t>)</w:t>
      </w:r>
      <w:r>
        <w:rPr>
          <w:rFonts w:asciiTheme="minorBidi" w:hAnsiTheme="minorBidi"/>
          <w:bCs/>
        </w:rPr>
        <w:t xml:space="preserve"> </w:t>
      </w:r>
      <w:r w:rsidR="006112DC">
        <w:rPr>
          <w:rFonts w:asciiTheme="minorBidi" w:hAnsiTheme="minorBidi"/>
          <w:bCs/>
        </w:rPr>
        <w:t>versus sequential</w:t>
      </w:r>
      <w:r w:rsidR="009327BF">
        <w:rPr>
          <w:rFonts w:asciiTheme="minorBidi" w:hAnsiTheme="minorBidi"/>
          <w:bCs/>
        </w:rPr>
        <w:t xml:space="preserve"> (injection followed by dilatation in another setting</w:t>
      </w:r>
      <w:r w:rsidR="006112DC">
        <w:rPr>
          <w:rFonts w:asciiTheme="minorBidi" w:hAnsiTheme="minorBidi"/>
          <w:bCs/>
        </w:rPr>
        <w:t xml:space="preserve"> or as mono-endoscopic procedure.</w:t>
      </w:r>
    </w:p>
    <w:p w14:paraId="2757F331" w14:textId="77777777" w:rsidR="00B04C3C" w:rsidRDefault="006112DC" w:rsidP="00EE2886">
      <w:pPr>
        <w:spacing w:line="360" w:lineRule="auto"/>
        <w:jc w:val="both"/>
        <w:rPr>
          <w:rFonts w:asciiTheme="minorBidi" w:hAnsiTheme="minorBidi"/>
          <w:bCs/>
        </w:rPr>
      </w:pPr>
      <w:r>
        <w:rPr>
          <w:rFonts w:asciiTheme="minorBidi" w:hAnsiTheme="minorBidi"/>
          <w:bCs/>
        </w:rPr>
        <w:t xml:space="preserve">The novel technique for using the cardia stretching by retroflexed scope after Botulinum and dilatation technique showed promising effects as the rigid stretchy and relatively larger diameter force dilatation cause effective tearing of </w:t>
      </w:r>
      <w:r w:rsidR="00B04C3C">
        <w:rPr>
          <w:rFonts w:asciiTheme="minorBidi" w:hAnsiTheme="minorBidi"/>
          <w:bCs/>
        </w:rPr>
        <w:t>circular esophageal smooth muscle fibers and followed by maintaining this endoscopic dilatation by medical treatment in the form of nitroglycerine twice daily resulted in good therapeutic results with a relatively long follow up period.</w:t>
      </w:r>
    </w:p>
    <w:p w14:paraId="24DB225A" w14:textId="2DE00970" w:rsidR="006112DC" w:rsidRDefault="00B04C3C" w:rsidP="00EE2886">
      <w:pPr>
        <w:spacing w:line="360" w:lineRule="auto"/>
        <w:jc w:val="both"/>
        <w:rPr>
          <w:rFonts w:asciiTheme="minorBidi" w:hAnsiTheme="minorBidi"/>
          <w:bCs/>
        </w:rPr>
      </w:pPr>
      <w:r>
        <w:rPr>
          <w:rFonts w:asciiTheme="minorBidi" w:hAnsiTheme="minorBidi"/>
          <w:bCs/>
        </w:rPr>
        <w:lastRenderedPageBreak/>
        <w:t xml:space="preserve">Studying the combined effect of both injection and balloon dilation to so somewhat was not </w:t>
      </w:r>
      <w:r w:rsidR="009327BF">
        <w:rPr>
          <w:rFonts w:asciiTheme="minorBidi" w:hAnsiTheme="minorBidi"/>
          <w:bCs/>
        </w:rPr>
        <w:t xml:space="preserve">thoroughly </w:t>
      </w:r>
      <w:r>
        <w:rPr>
          <w:rFonts w:asciiTheme="minorBidi" w:hAnsiTheme="minorBidi"/>
          <w:bCs/>
        </w:rPr>
        <w:t xml:space="preserve">evaluated in the literature. Zhu et al </w:t>
      </w:r>
      <w:r w:rsidR="00673561">
        <w:rPr>
          <w:rFonts w:asciiTheme="minorBidi" w:hAnsiTheme="minorBidi"/>
          <w:bCs/>
          <w:vertAlign w:val="superscript"/>
        </w:rPr>
        <w:t xml:space="preserve">(4) </w:t>
      </w:r>
      <w:r>
        <w:rPr>
          <w:rFonts w:asciiTheme="minorBidi" w:hAnsiTheme="minorBidi"/>
          <w:bCs/>
        </w:rPr>
        <w:t>in 2010 conducted a clinical study on this combination endoscopic therapy and found that</w:t>
      </w:r>
      <w:r w:rsidR="00BD796B">
        <w:rPr>
          <w:rFonts w:asciiTheme="minorBidi" w:hAnsiTheme="minorBidi"/>
          <w:bCs/>
        </w:rPr>
        <w:t xml:space="preserve"> </w:t>
      </w:r>
      <w:r w:rsidR="00BD796B" w:rsidRPr="00BD796B">
        <w:rPr>
          <w:rFonts w:asciiTheme="minorBidi" w:hAnsiTheme="minorBidi"/>
          <w:bCs/>
        </w:rPr>
        <w:t>efficiency of the combi</w:t>
      </w:r>
      <w:r w:rsidR="00BD796B">
        <w:rPr>
          <w:rFonts w:asciiTheme="minorBidi" w:hAnsiTheme="minorBidi"/>
          <w:bCs/>
        </w:rPr>
        <w:t xml:space="preserve">ned Botulinum </w:t>
      </w:r>
      <w:r w:rsidR="00BD796B" w:rsidRPr="00BD796B">
        <w:rPr>
          <w:rFonts w:asciiTheme="minorBidi" w:hAnsiTheme="minorBidi"/>
          <w:bCs/>
        </w:rPr>
        <w:t xml:space="preserve">administration and small balloon dilation is superior </w:t>
      </w:r>
      <w:r w:rsidR="00BD796B">
        <w:rPr>
          <w:rFonts w:asciiTheme="minorBidi" w:hAnsiTheme="minorBidi"/>
          <w:bCs/>
        </w:rPr>
        <w:t xml:space="preserve">to the single modality approach </w:t>
      </w:r>
      <w:r w:rsidR="00673561">
        <w:rPr>
          <w:rFonts w:asciiTheme="minorBidi" w:hAnsiTheme="minorBidi"/>
          <w:bCs/>
          <w:vertAlign w:val="superscript"/>
        </w:rPr>
        <w:t>(4</w:t>
      </w:r>
      <w:r w:rsidR="00BD796B">
        <w:rPr>
          <w:rFonts w:asciiTheme="minorBidi" w:hAnsiTheme="minorBidi"/>
          <w:bCs/>
          <w:vertAlign w:val="superscript"/>
        </w:rPr>
        <w:t>)</w:t>
      </w:r>
      <w:r w:rsidR="00BD796B">
        <w:rPr>
          <w:rFonts w:asciiTheme="minorBidi" w:hAnsiTheme="minorBidi"/>
          <w:bCs/>
        </w:rPr>
        <w:t>, these findin</w:t>
      </w:r>
      <w:r w:rsidR="002D4B4C">
        <w:rPr>
          <w:rFonts w:asciiTheme="minorBidi" w:hAnsiTheme="minorBidi"/>
          <w:bCs/>
        </w:rPr>
        <w:t>gs are in accordance with the results in this study</w:t>
      </w:r>
      <w:r w:rsidR="00BD796B">
        <w:rPr>
          <w:rFonts w:asciiTheme="minorBidi" w:hAnsiTheme="minorBidi"/>
          <w:bCs/>
        </w:rPr>
        <w:t>. The diff</w:t>
      </w:r>
      <w:r w:rsidR="002D4B4C">
        <w:rPr>
          <w:rFonts w:asciiTheme="minorBidi" w:hAnsiTheme="minorBidi"/>
          <w:bCs/>
        </w:rPr>
        <w:t xml:space="preserve">erence between both studies were </w:t>
      </w:r>
      <w:r w:rsidR="00BD796B">
        <w:rPr>
          <w:rFonts w:asciiTheme="minorBidi" w:hAnsiTheme="minorBidi"/>
          <w:bCs/>
        </w:rPr>
        <w:t xml:space="preserve">that although the number of this study </w:t>
      </w:r>
      <w:r w:rsidR="00A338AC">
        <w:rPr>
          <w:rFonts w:asciiTheme="minorBidi" w:hAnsiTheme="minorBidi"/>
          <w:bCs/>
        </w:rPr>
        <w:t>was about half the patient of</w:t>
      </w:r>
      <w:r w:rsidR="00BD796B">
        <w:rPr>
          <w:rFonts w:asciiTheme="minorBidi" w:hAnsiTheme="minorBidi"/>
          <w:bCs/>
        </w:rPr>
        <w:t xml:space="preserve"> Zhu study, but the follow up in this study was for 5 years and minimum period 48 weeks but in Zhu study, it was only 2 years </w:t>
      </w:r>
      <w:r w:rsidR="0010170D">
        <w:rPr>
          <w:rFonts w:asciiTheme="minorBidi" w:hAnsiTheme="minorBidi"/>
          <w:bCs/>
        </w:rPr>
        <w:t>duration, with response rate reaching about 95.4% comp</w:t>
      </w:r>
      <w:r w:rsidR="002D4B4C">
        <w:rPr>
          <w:rFonts w:asciiTheme="minorBidi" w:hAnsiTheme="minorBidi"/>
          <w:bCs/>
        </w:rPr>
        <w:t xml:space="preserve">ared to 56.6 % in the Zhu </w:t>
      </w:r>
      <w:r w:rsidR="0010170D">
        <w:rPr>
          <w:rFonts w:asciiTheme="minorBidi" w:hAnsiTheme="minorBidi"/>
          <w:bCs/>
        </w:rPr>
        <w:t xml:space="preserve">study. </w:t>
      </w:r>
      <w:r w:rsidR="002D4B4C">
        <w:rPr>
          <w:rFonts w:asciiTheme="minorBidi" w:hAnsiTheme="minorBidi"/>
          <w:bCs/>
          <w:vertAlign w:val="superscript"/>
        </w:rPr>
        <w:t xml:space="preserve">(4) </w:t>
      </w:r>
      <w:r w:rsidR="0010170D">
        <w:rPr>
          <w:rFonts w:asciiTheme="minorBidi" w:hAnsiTheme="minorBidi"/>
          <w:bCs/>
        </w:rPr>
        <w:t xml:space="preserve">In addition the way of the endoscopic handling was quite different, as in this work we did the procedure as a single 3 step wise procedure while in Zhu et al study, the sequential way was applied by injecting Botulinum followed 15 days later by small sized balloon dilation not like this study where 40 mm balloon dilatation was done followed by mechanical retroflexed scope dilatation.    </w:t>
      </w:r>
    </w:p>
    <w:p w14:paraId="38587B7B" w14:textId="0E92D603" w:rsidR="00F97BE4" w:rsidRPr="009E3F2C" w:rsidRDefault="00752D08" w:rsidP="00EE2886">
      <w:pPr>
        <w:spacing w:line="360" w:lineRule="auto"/>
        <w:jc w:val="both"/>
        <w:rPr>
          <w:rFonts w:asciiTheme="minorBidi" w:hAnsiTheme="minorBidi"/>
          <w:bCs/>
          <w:vertAlign w:val="superscript"/>
        </w:rPr>
      </w:pPr>
      <w:r>
        <w:rPr>
          <w:rFonts w:asciiTheme="minorBidi" w:hAnsiTheme="minorBidi"/>
          <w:bCs/>
        </w:rPr>
        <w:t>Also</w:t>
      </w:r>
      <w:r w:rsidR="00F97BE4">
        <w:rPr>
          <w:rFonts w:asciiTheme="minorBidi" w:hAnsiTheme="minorBidi"/>
          <w:bCs/>
        </w:rPr>
        <w:t xml:space="preserve"> </w:t>
      </w:r>
      <w:proofErr w:type="spellStart"/>
      <w:r w:rsidR="00F97BE4">
        <w:rPr>
          <w:rFonts w:asciiTheme="minorBidi" w:hAnsiTheme="minorBidi"/>
          <w:bCs/>
        </w:rPr>
        <w:t>K</w:t>
      </w:r>
      <w:r>
        <w:rPr>
          <w:rFonts w:asciiTheme="minorBidi" w:hAnsiTheme="minorBidi"/>
          <w:bCs/>
        </w:rPr>
        <w:t>roupa</w:t>
      </w:r>
      <w:proofErr w:type="spellEnd"/>
      <w:r w:rsidR="00F97BE4">
        <w:rPr>
          <w:rFonts w:asciiTheme="minorBidi" w:hAnsiTheme="minorBidi"/>
          <w:bCs/>
        </w:rPr>
        <w:t xml:space="preserve"> et al</w:t>
      </w:r>
      <w:r w:rsidR="00673561">
        <w:rPr>
          <w:rFonts w:asciiTheme="minorBidi" w:hAnsiTheme="minorBidi"/>
          <w:bCs/>
        </w:rPr>
        <w:t xml:space="preserve"> </w:t>
      </w:r>
      <w:r w:rsidR="00673561">
        <w:rPr>
          <w:rFonts w:asciiTheme="minorBidi" w:hAnsiTheme="minorBidi"/>
          <w:bCs/>
          <w:vertAlign w:val="superscript"/>
        </w:rPr>
        <w:t>(5)</w:t>
      </w:r>
      <w:r w:rsidR="002D4B4C">
        <w:rPr>
          <w:rFonts w:asciiTheme="minorBidi" w:hAnsiTheme="minorBidi"/>
          <w:bCs/>
        </w:rPr>
        <w:t xml:space="preserve">, showed the </w:t>
      </w:r>
      <w:r w:rsidR="00F97BE4">
        <w:rPr>
          <w:rFonts w:asciiTheme="minorBidi" w:hAnsiTheme="minorBidi"/>
          <w:bCs/>
        </w:rPr>
        <w:t xml:space="preserve">significance of the combined injection and dilatation for </w:t>
      </w:r>
      <w:r w:rsidR="002D4B4C">
        <w:rPr>
          <w:rFonts w:asciiTheme="minorBidi" w:hAnsiTheme="minorBidi"/>
          <w:bCs/>
        </w:rPr>
        <w:t>treating AC</w:t>
      </w:r>
      <w:r w:rsidR="00F97BE4">
        <w:rPr>
          <w:rFonts w:asciiTheme="minorBidi" w:hAnsiTheme="minorBidi"/>
          <w:bCs/>
        </w:rPr>
        <w:t xml:space="preserve"> patients with a number of patient almost the same of the present study with response rate almost 72% and they also</w:t>
      </w:r>
      <w:r w:rsidR="002D4B4C">
        <w:rPr>
          <w:rFonts w:asciiTheme="minorBidi" w:hAnsiTheme="minorBidi"/>
          <w:bCs/>
        </w:rPr>
        <w:t xml:space="preserve"> used the</w:t>
      </w:r>
      <w:r w:rsidR="00F97BE4">
        <w:rPr>
          <w:rFonts w:asciiTheme="minorBidi" w:hAnsiTheme="minorBidi"/>
          <w:bCs/>
        </w:rPr>
        <w:t xml:space="preserve"> sequential technique initiated by injection and followed by dilation 8 days later</w:t>
      </w:r>
      <w:r w:rsidR="009E3F2C">
        <w:rPr>
          <w:rFonts w:asciiTheme="minorBidi" w:hAnsiTheme="minorBidi"/>
          <w:bCs/>
        </w:rPr>
        <w:t>.</w:t>
      </w:r>
      <w:r w:rsidR="00673561">
        <w:rPr>
          <w:rFonts w:asciiTheme="minorBidi" w:hAnsiTheme="minorBidi"/>
          <w:bCs/>
          <w:vertAlign w:val="superscript"/>
        </w:rPr>
        <w:t xml:space="preserve"> (5)</w:t>
      </w:r>
    </w:p>
    <w:p w14:paraId="229F5516" w14:textId="12983176" w:rsidR="006112DC" w:rsidRPr="00673561" w:rsidRDefault="00C64E5D" w:rsidP="00EE2886">
      <w:pPr>
        <w:spacing w:line="360" w:lineRule="auto"/>
        <w:jc w:val="both"/>
        <w:rPr>
          <w:rFonts w:asciiTheme="minorBidi" w:hAnsiTheme="minorBidi"/>
          <w:bCs/>
          <w:vertAlign w:val="superscript"/>
        </w:rPr>
      </w:pPr>
      <w:r w:rsidRPr="00D22F3F">
        <w:rPr>
          <w:rFonts w:asciiTheme="minorBidi" w:hAnsiTheme="minorBidi"/>
          <w:bCs/>
        </w:rPr>
        <w:t xml:space="preserve">In addition </w:t>
      </w:r>
      <w:proofErr w:type="spellStart"/>
      <w:r w:rsidRPr="00D22F3F">
        <w:rPr>
          <w:rFonts w:asciiTheme="minorBidi" w:hAnsiTheme="minorBidi"/>
          <w:bCs/>
        </w:rPr>
        <w:t>Jameshorani</w:t>
      </w:r>
      <w:proofErr w:type="spellEnd"/>
      <w:r w:rsidRPr="00D22F3F">
        <w:rPr>
          <w:rFonts w:asciiTheme="minorBidi" w:hAnsiTheme="minorBidi"/>
          <w:bCs/>
        </w:rPr>
        <w:t xml:space="preserve"> et al</w:t>
      </w:r>
      <w:r w:rsidR="00673561">
        <w:rPr>
          <w:rFonts w:asciiTheme="minorBidi" w:hAnsiTheme="minorBidi"/>
          <w:bCs/>
        </w:rPr>
        <w:t xml:space="preserve"> </w:t>
      </w:r>
      <w:r w:rsidR="00673561">
        <w:rPr>
          <w:rFonts w:asciiTheme="minorBidi" w:hAnsiTheme="minorBidi"/>
          <w:bCs/>
          <w:vertAlign w:val="superscript"/>
        </w:rPr>
        <w:t>(6)</w:t>
      </w:r>
      <w:r w:rsidRPr="00D22F3F">
        <w:rPr>
          <w:rFonts w:asciiTheme="minorBidi" w:hAnsiTheme="minorBidi"/>
          <w:bCs/>
        </w:rPr>
        <w:t>, documented in their study long term ef</w:t>
      </w:r>
      <w:r w:rsidR="002D4B4C">
        <w:rPr>
          <w:rFonts w:asciiTheme="minorBidi" w:hAnsiTheme="minorBidi"/>
          <w:bCs/>
        </w:rPr>
        <w:t xml:space="preserve">ficacy of combined technique </w:t>
      </w:r>
      <w:proofErr w:type="spellStart"/>
      <w:r w:rsidR="002D4B4C">
        <w:rPr>
          <w:rFonts w:asciiTheme="minorBidi" w:hAnsiTheme="minorBidi"/>
          <w:bCs/>
        </w:rPr>
        <w:t>i</w:t>
      </w:r>
      <w:proofErr w:type="spellEnd"/>
      <w:r w:rsidR="002D4B4C">
        <w:rPr>
          <w:rFonts w:asciiTheme="minorBidi" w:hAnsiTheme="minorBidi"/>
          <w:bCs/>
        </w:rPr>
        <w:t xml:space="preserve">(injection and dilatation) </w:t>
      </w:r>
      <w:r w:rsidRPr="00D22F3F">
        <w:rPr>
          <w:rFonts w:asciiTheme="minorBidi" w:hAnsiTheme="minorBidi"/>
          <w:bCs/>
        </w:rPr>
        <w:t>on 196 Iranian patients suffering from achalasia with response rate almost near to this study which was about 90% over a follow up period reaching nine years.</w:t>
      </w:r>
      <w:r w:rsidR="00673561">
        <w:rPr>
          <w:rFonts w:asciiTheme="minorBidi" w:hAnsiTheme="minorBidi"/>
          <w:bCs/>
        </w:rPr>
        <w:t xml:space="preserve"> </w:t>
      </w:r>
      <w:r w:rsidR="00673561">
        <w:rPr>
          <w:rFonts w:asciiTheme="minorBidi" w:hAnsiTheme="minorBidi"/>
          <w:bCs/>
          <w:vertAlign w:val="superscript"/>
        </w:rPr>
        <w:t>(6)</w:t>
      </w:r>
    </w:p>
    <w:p w14:paraId="7520F6FD" w14:textId="08343CBF" w:rsidR="0062206B" w:rsidRDefault="0062206B" w:rsidP="00EE2886">
      <w:pPr>
        <w:spacing w:line="360" w:lineRule="auto"/>
        <w:jc w:val="both"/>
        <w:rPr>
          <w:rFonts w:asciiTheme="minorBidi" w:hAnsiTheme="minorBidi"/>
          <w:bCs/>
        </w:rPr>
      </w:pPr>
      <w:r w:rsidRPr="0062206B">
        <w:rPr>
          <w:rFonts w:asciiTheme="minorBidi" w:hAnsiTheme="minorBidi"/>
          <w:bCs/>
        </w:rPr>
        <w:t xml:space="preserve">So Accordingly </w:t>
      </w:r>
      <w:r>
        <w:rPr>
          <w:rFonts w:asciiTheme="minorBidi" w:hAnsiTheme="minorBidi"/>
          <w:bCs/>
        </w:rPr>
        <w:t>to the</w:t>
      </w:r>
      <w:r w:rsidR="002D4B4C">
        <w:rPr>
          <w:rFonts w:asciiTheme="minorBidi" w:hAnsiTheme="minorBidi"/>
          <w:bCs/>
        </w:rPr>
        <w:t>se</w:t>
      </w:r>
      <w:r>
        <w:rPr>
          <w:rFonts w:asciiTheme="minorBidi" w:hAnsiTheme="minorBidi"/>
          <w:bCs/>
        </w:rPr>
        <w:t xml:space="preserve"> studies which were performed before this study, it seemed that the combined injection of Botulinum with balloon dilatation yielded better response rate among patients suffering from achalasia compared to monother</w:t>
      </w:r>
      <w:r w:rsidR="002D4B4C">
        <w:rPr>
          <w:rFonts w:asciiTheme="minorBidi" w:hAnsiTheme="minorBidi"/>
          <w:bCs/>
        </w:rPr>
        <w:t>apy alone and this present work</w:t>
      </w:r>
      <w:r>
        <w:rPr>
          <w:rFonts w:asciiTheme="minorBidi" w:hAnsiTheme="minorBidi"/>
          <w:bCs/>
        </w:rPr>
        <w:t xml:space="preserve"> confirmed this significance.</w:t>
      </w:r>
    </w:p>
    <w:p w14:paraId="58CC6926" w14:textId="6AD41B21" w:rsidR="00513FA6" w:rsidRDefault="00513FA6" w:rsidP="00EE2886">
      <w:pPr>
        <w:spacing w:line="360" w:lineRule="auto"/>
        <w:jc w:val="both"/>
        <w:rPr>
          <w:rFonts w:asciiTheme="minorBidi" w:hAnsiTheme="minorBidi"/>
          <w:bCs/>
        </w:rPr>
      </w:pPr>
      <w:r>
        <w:rPr>
          <w:rFonts w:asciiTheme="minorBidi" w:hAnsiTheme="minorBidi"/>
          <w:bCs/>
        </w:rPr>
        <w:t>Moreover, the way of treating the patient post endoscopy by medical treatment in the form of nitroglycerine to maintain the response rate of dilatation for a relatively long duration of follow up reaching in some cases 2</w:t>
      </w:r>
      <w:r w:rsidR="002D4B4C">
        <w:rPr>
          <w:rFonts w:asciiTheme="minorBidi" w:hAnsiTheme="minorBidi"/>
          <w:bCs/>
        </w:rPr>
        <w:t>40 weeks. Also keeping in mind that modulation of</w:t>
      </w:r>
      <w:r>
        <w:rPr>
          <w:rFonts w:asciiTheme="minorBidi" w:hAnsiTheme="minorBidi"/>
          <w:bCs/>
        </w:rPr>
        <w:t xml:space="preserve"> the role</w:t>
      </w:r>
      <w:r w:rsidR="002D4B4C">
        <w:rPr>
          <w:rFonts w:asciiTheme="minorBidi" w:hAnsiTheme="minorBidi"/>
          <w:bCs/>
        </w:rPr>
        <w:t xml:space="preserve"> of gut flora</w:t>
      </w:r>
      <w:r>
        <w:rPr>
          <w:rFonts w:asciiTheme="minorBidi" w:hAnsiTheme="minorBidi"/>
          <w:bCs/>
        </w:rPr>
        <w:t xml:space="preserve"> by Rifaximin was very beneficial without encountered any drug side effects during the follow up period</w:t>
      </w:r>
      <w:r w:rsidR="003703EB">
        <w:rPr>
          <w:rFonts w:asciiTheme="minorBidi" w:hAnsiTheme="minorBidi"/>
          <w:bCs/>
        </w:rPr>
        <w:t>, this should attract the attention of the importance of gut flora in Achalasia pathogenesis and the exact role should be investigated in future studies</w:t>
      </w:r>
      <w:r>
        <w:rPr>
          <w:rFonts w:asciiTheme="minorBidi" w:hAnsiTheme="minorBidi"/>
          <w:bCs/>
        </w:rPr>
        <w:t xml:space="preserve">. The usage of topical fluticasone after </w:t>
      </w:r>
      <w:r>
        <w:rPr>
          <w:rFonts w:asciiTheme="minorBidi" w:hAnsiTheme="minorBidi"/>
          <w:bCs/>
        </w:rPr>
        <w:lastRenderedPageBreak/>
        <w:t xml:space="preserve">the procedure for at least 4-8 weeks and then sporadically aided significantly to </w:t>
      </w:r>
      <w:r w:rsidR="002D4B4C">
        <w:rPr>
          <w:rFonts w:asciiTheme="minorBidi" w:hAnsiTheme="minorBidi"/>
          <w:bCs/>
        </w:rPr>
        <w:t>let the patients responded well with long follow up period</w:t>
      </w:r>
      <w:r>
        <w:rPr>
          <w:rFonts w:asciiTheme="minorBidi" w:hAnsiTheme="minorBidi"/>
          <w:bCs/>
        </w:rPr>
        <w:t>, probably due to its anti-inflammatory effects.</w:t>
      </w:r>
    </w:p>
    <w:p w14:paraId="5528B92B" w14:textId="67A84B55" w:rsidR="00C64E5D" w:rsidRDefault="00513FA6" w:rsidP="00EE2886">
      <w:pPr>
        <w:spacing w:line="360" w:lineRule="auto"/>
        <w:jc w:val="both"/>
        <w:rPr>
          <w:rFonts w:asciiTheme="minorBidi" w:hAnsiTheme="minorBidi"/>
          <w:bCs/>
        </w:rPr>
      </w:pPr>
      <w:r>
        <w:rPr>
          <w:rFonts w:asciiTheme="minorBidi" w:hAnsiTheme="minorBidi"/>
          <w:bCs/>
        </w:rPr>
        <w:t xml:space="preserve">This encourage us for implementation of this COMBO procedure </w:t>
      </w:r>
      <w:r w:rsidR="00995EA0">
        <w:rPr>
          <w:rFonts w:asciiTheme="minorBidi" w:hAnsiTheme="minorBidi"/>
          <w:bCs/>
        </w:rPr>
        <w:t xml:space="preserve">as future promising endoscopic modalities to treat achalasia either step before PEOM or surgical procedure or at least for those who are not fit for major risky procedure as the complications were almost low and the procedure is safe as it is a one day procedure with short time duration. </w:t>
      </w:r>
      <w:r w:rsidR="0062206B">
        <w:rPr>
          <w:rFonts w:asciiTheme="minorBidi" w:hAnsiTheme="minorBidi"/>
          <w:bCs/>
        </w:rPr>
        <w:t xml:space="preserve"> </w:t>
      </w:r>
    </w:p>
    <w:p w14:paraId="1021AFC6" w14:textId="6621AA30" w:rsidR="003C731D" w:rsidRPr="002D4B4C" w:rsidRDefault="007500B1" w:rsidP="0091715D">
      <w:pPr>
        <w:spacing w:line="360" w:lineRule="auto"/>
        <w:jc w:val="both"/>
        <w:rPr>
          <w:rFonts w:asciiTheme="minorBidi" w:hAnsiTheme="minorBidi"/>
          <w:bCs/>
        </w:rPr>
      </w:pPr>
      <w:r>
        <w:rPr>
          <w:rFonts w:asciiTheme="minorBidi" w:hAnsiTheme="minorBidi"/>
          <w:b/>
          <w:bCs/>
          <w:sz w:val="24"/>
          <w:szCs w:val="24"/>
          <w:u w:val="single"/>
        </w:rPr>
        <w:t>Conclusion:</w:t>
      </w:r>
      <w:r>
        <w:rPr>
          <w:rFonts w:asciiTheme="minorBidi" w:hAnsiTheme="minorBidi"/>
          <w:b/>
          <w:bCs/>
          <w:sz w:val="24"/>
          <w:szCs w:val="24"/>
        </w:rPr>
        <w:t xml:space="preserve"> </w:t>
      </w:r>
      <w:r w:rsidRPr="001D5F21">
        <w:rPr>
          <w:rFonts w:asciiTheme="minorBidi" w:hAnsiTheme="minorBidi"/>
          <w:b/>
          <w:bCs/>
        </w:rPr>
        <w:t xml:space="preserve">COMBO </w:t>
      </w:r>
      <w:r w:rsidRPr="001D5F21">
        <w:rPr>
          <w:rFonts w:asciiTheme="minorBidi" w:hAnsiTheme="minorBidi"/>
          <w:bCs/>
        </w:rPr>
        <w:t xml:space="preserve">endoscopic technique could be suggested as a novel and effective method for treating achalasia as a stepwise way before proceeding to more risky invasive methods as </w:t>
      </w:r>
      <w:r w:rsidR="0091715D">
        <w:rPr>
          <w:rFonts w:asciiTheme="minorBidi" w:hAnsiTheme="minorBidi"/>
          <w:bCs/>
        </w:rPr>
        <w:t>POEM</w:t>
      </w:r>
      <w:r>
        <w:rPr>
          <w:rFonts w:asciiTheme="minorBidi" w:hAnsiTheme="minorBidi"/>
          <w:bCs/>
        </w:rPr>
        <w:t xml:space="preserve"> or surgical procedure or in high risky patients at least.</w:t>
      </w:r>
    </w:p>
    <w:p w14:paraId="47225FB8" w14:textId="50E68881" w:rsidR="00AC4E2B" w:rsidRPr="0091715D" w:rsidRDefault="006112DC" w:rsidP="0091715D">
      <w:pPr>
        <w:spacing w:line="360" w:lineRule="auto"/>
        <w:jc w:val="both"/>
        <w:rPr>
          <w:rFonts w:asciiTheme="minorBidi" w:hAnsiTheme="minorBidi"/>
          <w:b/>
          <w:bCs/>
          <w:sz w:val="24"/>
          <w:szCs w:val="24"/>
          <w:u w:val="single"/>
        </w:rPr>
      </w:pPr>
      <w:r>
        <w:rPr>
          <w:rFonts w:asciiTheme="minorBidi" w:hAnsiTheme="minorBidi"/>
          <w:b/>
          <w:bCs/>
          <w:sz w:val="24"/>
          <w:szCs w:val="24"/>
          <w:u w:val="single"/>
        </w:rPr>
        <w:t xml:space="preserve">References: </w:t>
      </w:r>
    </w:p>
    <w:p w14:paraId="160EC674" w14:textId="17A8A857" w:rsidR="00AC4E2B" w:rsidRPr="000D6010" w:rsidRDefault="00BC108A" w:rsidP="000D6010">
      <w:pPr>
        <w:pStyle w:val="ListParagraph"/>
        <w:widowControl w:val="0"/>
        <w:numPr>
          <w:ilvl w:val="0"/>
          <w:numId w:val="6"/>
        </w:numPr>
        <w:autoSpaceDE w:val="0"/>
        <w:autoSpaceDN w:val="0"/>
        <w:adjustRightInd w:val="0"/>
        <w:spacing w:after="0" w:line="360" w:lineRule="auto"/>
        <w:ind w:left="714" w:hanging="357"/>
        <w:jc w:val="both"/>
        <w:rPr>
          <w:rFonts w:ascii="Arial" w:hAnsi="Arial" w:cs="Arial"/>
          <w:color w:val="262626"/>
        </w:rPr>
      </w:pPr>
      <w:hyperlink r:id="rId12" w:history="1">
        <w:proofErr w:type="spellStart"/>
        <w:r w:rsidR="00AC4E2B" w:rsidRPr="000D6010">
          <w:rPr>
            <w:rFonts w:ascii="Arial" w:hAnsi="Arial" w:cs="Arial"/>
            <w:color w:val="262626"/>
          </w:rPr>
          <w:t>Dhyanesh</w:t>
        </w:r>
        <w:proofErr w:type="spellEnd"/>
        <w:r w:rsidR="00AC4E2B" w:rsidRPr="000D6010">
          <w:rPr>
            <w:rFonts w:ascii="Arial" w:hAnsi="Arial" w:cs="Arial"/>
            <w:color w:val="262626"/>
          </w:rPr>
          <w:t xml:space="preserve"> A</w:t>
        </w:r>
      </w:hyperlink>
      <w:r w:rsidR="00AC4E2B" w:rsidRPr="000D6010">
        <w:rPr>
          <w:rFonts w:ascii="Arial" w:hAnsi="Arial" w:cs="Arial"/>
          <w:color w:val="262626"/>
        </w:rPr>
        <w:t>, </w:t>
      </w:r>
      <w:hyperlink r:id="rId13" w:history="1">
        <w:r w:rsidR="00AC4E2B" w:rsidRPr="000D6010">
          <w:rPr>
            <w:rFonts w:ascii="Arial" w:hAnsi="Arial" w:cs="Arial"/>
            <w:color w:val="262626"/>
          </w:rPr>
          <w:t>Brian M</w:t>
        </w:r>
      </w:hyperlink>
      <w:r w:rsidR="00AC4E2B" w:rsidRPr="000D6010">
        <w:rPr>
          <w:rFonts w:ascii="Arial" w:hAnsi="Arial" w:cs="Arial"/>
          <w:color w:val="262626"/>
        </w:rPr>
        <w:t>, and </w:t>
      </w:r>
      <w:hyperlink r:id="rId14" w:history="1">
        <w:r w:rsidR="00CF701F" w:rsidRPr="000D6010">
          <w:rPr>
            <w:rFonts w:ascii="Arial" w:hAnsi="Arial" w:cs="Arial"/>
            <w:color w:val="262626"/>
          </w:rPr>
          <w:t>Michael F.</w:t>
        </w:r>
        <w:r w:rsidR="00AC4E2B" w:rsidRPr="000D6010">
          <w:rPr>
            <w:rFonts w:ascii="Arial" w:hAnsi="Arial" w:cs="Arial"/>
            <w:color w:val="262626"/>
          </w:rPr>
          <w:t xml:space="preserve"> </w:t>
        </w:r>
      </w:hyperlink>
      <w:r w:rsidR="00AC4E2B" w:rsidRPr="000D6010">
        <w:rPr>
          <w:rFonts w:ascii="Arial" w:hAnsi="Arial" w:cs="Arial"/>
          <w:color w:val="262626"/>
        </w:rPr>
        <w:t xml:space="preserve">An Overview of Achalasia and Its Subtypes. </w:t>
      </w:r>
      <w:hyperlink r:id="rId15" w:history="1">
        <w:proofErr w:type="spellStart"/>
        <w:r w:rsidR="00AC4E2B" w:rsidRPr="000D6010">
          <w:rPr>
            <w:rFonts w:ascii="Arial" w:hAnsi="Arial" w:cs="Arial"/>
            <w:color w:val="262626"/>
          </w:rPr>
          <w:t>Gastroenterol</w:t>
        </w:r>
        <w:proofErr w:type="spellEnd"/>
        <w:r w:rsidR="00AC4E2B" w:rsidRPr="000D6010">
          <w:rPr>
            <w:rFonts w:ascii="Arial" w:hAnsi="Arial" w:cs="Arial"/>
            <w:color w:val="262626"/>
          </w:rPr>
          <w:t xml:space="preserve"> </w:t>
        </w:r>
        <w:proofErr w:type="spellStart"/>
        <w:r w:rsidR="00AC4E2B" w:rsidRPr="000D6010">
          <w:rPr>
            <w:rFonts w:ascii="Arial" w:hAnsi="Arial" w:cs="Arial"/>
            <w:color w:val="262626"/>
          </w:rPr>
          <w:t>Hepatol</w:t>
        </w:r>
        <w:proofErr w:type="spellEnd"/>
        <w:r w:rsidR="00AC4E2B" w:rsidRPr="000D6010">
          <w:rPr>
            <w:rFonts w:ascii="Arial" w:hAnsi="Arial" w:cs="Arial"/>
            <w:color w:val="262626"/>
          </w:rPr>
          <w:t xml:space="preserve"> (N Y)</w:t>
        </w:r>
      </w:hyperlink>
      <w:r w:rsidR="00AC4E2B" w:rsidRPr="000D6010">
        <w:rPr>
          <w:rFonts w:ascii="Arial" w:hAnsi="Arial" w:cs="Arial"/>
          <w:color w:val="262626"/>
        </w:rPr>
        <w:t>. 2017 Jul; 13(7): 411–421</w:t>
      </w:r>
    </w:p>
    <w:p w14:paraId="4CDAC208" w14:textId="2EB860DE" w:rsidR="00CF701F" w:rsidRPr="000D6010" w:rsidRDefault="00CF701F" w:rsidP="000D6010">
      <w:pPr>
        <w:pStyle w:val="Heading1"/>
        <w:numPr>
          <w:ilvl w:val="0"/>
          <w:numId w:val="6"/>
        </w:numPr>
        <w:shd w:val="clear" w:color="auto" w:fill="FFFFFF"/>
        <w:spacing w:after="120" w:line="360" w:lineRule="auto"/>
        <w:ind w:left="714" w:hanging="357"/>
        <w:rPr>
          <w:rFonts w:ascii="Arial" w:eastAsiaTheme="minorHAnsi" w:hAnsi="Arial" w:cs="Arial"/>
          <w:color w:val="262626"/>
          <w:sz w:val="22"/>
          <w:szCs w:val="22"/>
        </w:rPr>
      </w:pPr>
      <w:proofErr w:type="spellStart"/>
      <w:r w:rsidRPr="000D6010">
        <w:rPr>
          <w:rFonts w:ascii="Arial" w:eastAsiaTheme="minorHAnsi" w:hAnsi="Arial" w:cs="Arial"/>
          <w:color w:val="262626"/>
          <w:sz w:val="22"/>
          <w:szCs w:val="22"/>
        </w:rPr>
        <w:t>Dhyanesh</w:t>
      </w:r>
      <w:proofErr w:type="spellEnd"/>
      <w:r w:rsidRPr="000D6010">
        <w:rPr>
          <w:rFonts w:ascii="Arial" w:eastAsiaTheme="minorHAnsi" w:hAnsi="Arial" w:cs="Arial"/>
          <w:color w:val="262626"/>
          <w:sz w:val="22"/>
          <w:szCs w:val="22"/>
        </w:rPr>
        <w:t xml:space="preserve"> A, </w:t>
      </w:r>
      <w:hyperlink r:id="rId16" w:history="1">
        <w:r w:rsidRPr="000D6010">
          <w:rPr>
            <w:rFonts w:ascii="Arial" w:eastAsiaTheme="minorHAnsi" w:hAnsi="Arial" w:cs="Arial"/>
            <w:color w:val="262626"/>
            <w:sz w:val="22"/>
            <w:szCs w:val="22"/>
          </w:rPr>
          <w:t>Hannah P.</w:t>
        </w:r>
      </w:hyperlink>
      <w:r w:rsidR="000D6010" w:rsidRPr="000D6010">
        <w:rPr>
          <w:rFonts w:ascii="Arial" w:eastAsiaTheme="minorHAnsi" w:hAnsi="Arial" w:cs="Arial"/>
          <w:color w:val="262626"/>
          <w:sz w:val="22"/>
          <w:szCs w:val="22"/>
        </w:rPr>
        <w:t>,</w:t>
      </w:r>
      <w:r w:rsidRPr="000D6010">
        <w:rPr>
          <w:rFonts w:ascii="Arial" w:eastAsiaTheme="minorHAnsi" w:hAnsi="Arial" w:cs="Arial"/>
          <w:color w:val="262626"/>
          <w:sz w:val="22"/>
          <w:szCs w:val="22"/>
        </w:rPr>
        <w:t xml:space="preserve"> Jerry S, Michael F.  Idiopathic (primary) achalasia: a review. </w:t>
      </w:r>
      <w:hyperlink r:id="rId17" w:history="1">
        <w:proofErr w:type="spellStart"/>
        <w:proofErr w:type="gramStart"/>
        <w:r w:rsidRPr="000D6010">
          <w:rPr>
            <w:rFonts w:ascii="Arial" w:eastAsiaTheme="minorHAnsi" w:hAnsi="Arial" w:cs="Arial"/>
            <w:color w:val="262626"/>
            <w:sz w:val="22"/>
            <w:szCs w:val="22"/>
          </w:rPr>
          <w:t>Orphanet</w:t>
        </w:r>
        <w:proofErr w:type="spellEnd"/>
        <w:r w:rsidRPr="000D6010">
          <w:rPr>
            <w:rFonts w:ascii="Arial" w:eastAsiaTheme="minorHAnsi" w:hAnsi="Arial" w:cs="Arial"/>
            <w:color w:val="262626"/>
            <w:sz w:val="22"/>
            <w:szCs w:val="22"/>
          </w:rPr>
          <w:t xml:space="preserve"> </w:t>
        </w:r>
        <w:r w:rsidR="000D6010" w:rsidRPr="000D6010">
          <w:rPr>
            <w:rFonts w:ascii="Arial" w:eastAsiaTheme="minorHAnsi" w:hAnsi="Arial" w:cs="Arial"/>
            <w:color w:val="262626"/>
            <w:sz w:val="22"/>
            <w:szCs w:val="22"/>
          </w:rPr>
          <w:t xml:space="preserve"> </w:t>
        </w:r>
        <w:r w:rsidRPr="000D6010">
          <w:rPr>
            <w:rFonts w:ascii="Arial" w:eastAsiaTheme="minorHAnsi" w:hAnsi="Arial" w:cs="Arial"/>
            <w:color w:val="262626"/>
            <w:sz w:val="22"/>
            <w:szCs w:val="22"/>
          </w:rPr>
          <w:t>J</w:t>
        </w:r>
        <w:proofErr w:type="gramEnd"/>
        <w:r w:rsidRPr="000D6010">
          <w:rPr>
            <w:rFonts w:ascii="Arial" w:eastAsiaTheme="minorHAnsi" w:hAnsi="Arial" w:cs="Arial"/>
            <w:color w:val="262626"/>
            <w:sz w:val="22"/>
            <w:szCs w:val="22"/>
          </w:rPr>
          <w:t xml:space="preserve"> Rare Dis</w:t>
        </w:r>
      </w:hyperlink>
      <w:r w:rsidR="000D6010" w:rsidRPr="000D6010">
        <w:rPr>
          <w:rFonts w:ascii="Arial" w:eastAsiaTheme="minorHAnsi" w:hAnsi="Arial" w:cs="Arial"/>
          <w:color w:val="262626"/>
          <w:sz w:val="22"/>
          <w:szCs w:val="22"/>
        </w:rPr>
        <w:t>. 2015; 10: 89</w:t>
      </w:r>
    </w:p>
    <w:p w14:paraId="1F5B498A" w14:textId="7A122C2B" w:rsidR="00AC4E2B" w:rsidRPr="000D6010" w:rsidRDefault="00BC108A" w:rsidP="000D6010">
      <w:pPr>
        <w:pStyle w:val="ListParagraph"/>
        <w:widowControl w:val="0"/>
        <w:numPr>
          <w:ilvl w:val="0"/>
          <w:numId w:val="6"/>
        </w:numPr>
        <w:autoSpaceDE w:val="0"/>
        <w:autoSpaceDN w:val="0"/>
        <w:adjustRightInd w:val="0"/>
        <w:spacing w:after="0" w:line="360" w:lineRule="auto"/>
        <w:ind w:left="714" w:hanging="357"/>
        <w:jc w:val="both"/>
        <w:rPr>
          <w:rFonts w:ascii="Arial" w:hAnsi="Arial" w:cs="Arial"/>
          <w:color w:val="262626"/>
        </w:rPr>
      </w:pPr>
      <w:hyperlink r:id="rId18" w:history="1">
        <w:r w:rsidR="000D6010" w:rsidRPr="000D6010">
          <w:rPr>
            <w:rFonts w:ascii="Arial" w:hAnsi="Arial" w:cs="Arial"/>
            <w:color w:val="243778"/>
          </w:rPr>
          <w:t xml:space="preserve"> </w:t>
        </w:r>
        <w:proofErr w:type="spellStart"/>
        <w:r w:rsidR="000D6010" w:rsidRPr="000D6010">
          <w:rPr>
            <w:rFonts w:ascii="Arial" w:hAnsi="Arial" w:cs="Arial"/>
            <w:color w:val="243778"/>
          </w:rPr>
          <w:t>Tantau</w:t>
        </w:r>
        <w:proofErr w:type="spellEnd"/>
      </w:hyperlink>
      <w:r w:rsidR="000D6010" w:rsidRPr="000D6010">
        <w:rPr>
          <w:rFonts w:ascii="Arial" w:hAnsi="Arial" w:cs="Arial"/>
        </w:rPr>
        <w:t xml:space="preserve"> M, </w:t>
      </w:r>
      <w:hyperlink r:id="rId19" w:history="1">
        <w:r w:rsidR="000D6010" w:rsidRPr="000D6010">
          <w:rPr>
            <w:rFonts w:ascii="Arial" w:hAnsi="Arial" w:cs="Arial"/>
            <w:color w:val="243778"/>
          </w:rPr>
          <w:t xml:space="preserve"> </w:t>
        </w:r>
        <w:proofErr w:type="spellStart"/>
        <w:r w:rsidR="000D6010" w:rsidRPr="000D6010">
          <w:rPr>
            <w:rFonts w:ascii="Arial" w:hAnsi="Arial" w:cs="Arial"/>
            <w:color w:val="243778"/>
          </w:rPr>
          <w:t>Crisan</w:t>
        </w:r>
        <w:proofErr w:type="spellEnd"/>
      </w:hyperlink>
      <w:r w:rsidR="000D6010" w:rsidRPr="000D6010">
        <w:rPr>
          <w:rFonts w:ascii="Arial" w:hAnsi="Arial" w:cs="Arial"/>
        </w:rPr>
        <w:t xml:space="preserve"> D. Peroral endoscopic myotomy: Time to change our opinion regarding the treatment of achalasia. World J </w:t>
      </w:r>
      <w:proofErr w:type="spellStart"/>
      <w:r w:rsidR="000D6010" w:rsidRPr="000D6010">
        <w:rPr>
          <w:rFonts w:ascii="Arial" w:hAnsi="Arial" w:cs="Arial"/>
        </w:rPr>
        <w:t>gastrointest</w:t>
      </w:r>
      <w:proofErr w:type="spellEnd"/>
      <w:r w:rsidR="000D6010" w:rsidRPr="000D6010">
        <w:rPr>
          <w:rFonts w:ascii="Arial" w:hAnsi="Arial" w:cs="Arial"/>
        </w:rPr>
        <w:t xml:space="preserve"> </w:t>
      </w:r>
      <w:proofErr w:type="spellStart"/>
      <w:r w:rsidR="000D6010" w:rsidRPr="000D6010">
        <w:rPr>
          <w:rFonts w:ascii="Arial" w:hAnsi="Arial" w:cs="Arial"/>
        </w:rPr>
        <w:t>Endosc</w:t>
      </w:r>
      <w:proofErr w:type="spellEnd"/>
      <w:r w:rsidR="000D6010" w:rsidRPr="000D6010">
        <w:rPr>
          <w:rFonts w:ascii="Arial" w:hAnsi="Arial" w:cs="Arial"/>
        </w:rPr>
        <w:t>: 2015 Mar 16; 7(3): 237–246</w:t>
      </w:r>
    </w:p>
    <w:p w14:paraId="5C56DCC9" w14:textId="3537238B" w:rsidR="006112DC" w:rsidRPr="000D6010" w:rsidRDefault="0062206B" w:rsidP="000D6010">
      <w:pPr>
        <w:pStyle w:val="ListParagraph"/>
        <w:widowControl w:val="0"/>
        <w:numPr>
          <w:ilvl w:val="0"/>
          <w:numId w:val="6"/>
        </w:numPr>
        <w:autoSpaceDE w:val="0"/>
        <w:autoSpaceDN w:val="0"/>
        <w:adjustRightInd w:val="0"/>
        <w:spacing w:after="0" w:line="360" w:lineRule="auto"/>
        <w:ind w:left="714" w:hanging="357"/>
        <w:jc w:val="both"/>
        <w:rPr>
          <w:rFonts w:ascii="Arial" w:hAnsi="Arial" w:cs="Arial"/>
        </w:rPr>
      </w:pPr>
      <w:proofErr w:type="spellStart"/>
      <w:r w:rsidRPr="000D6010">
        <w:rPr>
          <w:rFonts w:ascii="Arial" w:hAnsi="Arial" w:cs="Arial"/>
          <w:color w:val="262626"/>
        </w:rPr>
        <w:t>Qiang</w:t>
      </w:r>
      <w:proofErr w:type="spellEnd"/>
      <w:r w:rsidRPr="000D6010">
        <w:rPr>
          <w:rFonts w:ascii="Arial" w:hAnsi="Arial" w:cs="Arial"/>
          <w:color w:val="262626"/>
        </w:rPr>
        <w:t xml:space="preserve"> </w:t>
      </w:r>
      <w:proofErr w:type="spellStart"/>
      <w:r w:rsidRPr="000D6010">
        <w:rPr>
          <w:rFonts w:ascii="Arial" w:hAnsi="Arial" w:cs="Arial"/>
          <w:color w:val="262626"/>
        </w:rPr>
        <w:t>Zhu</w:t>
      </w:r>
      <w:proofErr w:type="gramStart"/>
      <w:r w:rsidRPr="000D6010">
        <w:rPr>
          <w:rFonts w:ascii="Arial" w:hAnsi="Arial" w:cs="Arial"/>
          <w:color w:val="262626"/>
        </w:rPr>
        <w:t>,Jiyong</w:t>
      </w:r>
      <w:proofErr w:type="spellEnd"/>
      <w:proofErr w:type="gramEnd"/>
      <w:r w:rsidRPr="000D6010">
        <w:rPr>
          <w:rFonts w:ascii="Arial" w:hAnsi="Arial" w:cs="Arial"/>
          <w:color w:val="262626"/>
        </w:rPr>
        <w:t xml:space="preserve"> </w:t>
      </w:r>
      <w:proofErr w:type="spellStart"/>
      <w:r w:rsidRPr="000D6010">
        <w:rPr>
          <w:rFonts w:ascii="Arial" w:hAnsi="Arial" w:cs="Arial"/>
          <w:color w:val="262626"/>
        </w:rPr>
        <w:t>Liu,Chongmei</w:t>
      </w:r>
      <w:proofErr w:type="spellEnd"/>
      <w:r w:rsidRPr="000D6010">
        <w:rPr>
          <w:rFonts w:ascii="Arial" w:hAnsi="Arial" w:cs="Arial"/>
          <w:color w:val="262626"/>
        </w:rPr>
        <w:t xml:space="preserve"> Yang. </w:t>
      </w:r>
      <w:r w:rsidR="006112DC" w:rsidRPr="000D6010">
        <w:rPr>
          <w:rFonts w:ascii="Arial" w:hAnsi="Arial" w:cs="Arial"/>
          <w:color w:val="262626"/>
        </w:rPr>
        <w:t>Clinical</w:t>
      </w:r>
      <w:r w:rsidR="006112DC" w:rsidRPr="000D6010">
        <w:rPr>
          <w:rFonts w:ascii="Arial" w:hAnsi="Arial" w:cs="Arial"/>
          <w:bCs/>
        </w:rPr>
        <w:t xml:space="preserve"> study on combined therapy of </w:t>
      </w:r>
      <w:proofErr w:type="spellStart"/>
      <w:r w:rsidR="006112DC" w:rsidRPr="000D6010">
        <w:rPr>
          <w:rFonts w:ascii="Arial" w:hAnsi="Arial" w:cs="Arial"/>
          <w:bCs/>
        </w:rPr>
        <w:t>botulinum</w:t>
      </w:r>
      <w:proofErr w:type="spellEnd"/>
      <w:r w:rsidR="006112DC" w:rsidRPr="000D6010">
        <w:rPr>
          <w:rFonts w:ascii="Arial" w:hAnsi="Arial" w:cs="Arial"/>
          <w:bCs/>
        </w:rPr>
        <w:t xml:space="preserve"> toxin injection and small balloon dilation in patients with esophageal achalasia.</w:t>
      </w:r>
      <w:r w:rsidR="006112DC" w:rsidRPr="000D6010">
        <w:rPr>
          <w:rFonts w:ascii="Arial" w:hAnsi="Arial" w:cs="Arial"/>
          <w:color w:val="262626"/>
        </w:rPr>
        <w:t xml:space="preserve"> Dig Surg.</w:t>
      </w:r>
      <w:r w:rsidR="006112DC" w:rsidRPr="000D6010">
        <w:rPr>
          <w:rFonts w:ascii="Arial" w:hAnsi="Arial" w:cs="Arial"/>
        </w:rPr>
        <w:t xml:space="preserve"> 2009 Feb; 26(6)</w:t>
      </w:r>
      <w:r w:rsidR="0010170D" w:rsidRPr="000D6010">
        <w:rPr>
          <w:rFonts w:ascii="Arial" w:hAnsi="Arial" w:cs="Arial"/>
        </w:rPr>
        <w:t>: 493</w:t>
      </w:r>
      <w:r w:rsidR="006112DC" w:rsidRPr="000D6010">
        <w:rPr>
          <w:rFonts w:ascii="Arial" w:hAnsi="Arial" w:cs="Arial"/>
        </w:rPr>
        <w:t xml:space="preserve">-8. </w:t>
      </w:r>
    </w:p>
    <w:p w14:paraId="0FF5F3DA" w14:textId="24DB0E40" w:rsidR="0010170D" w:rsidRPr="000D6010" w:rsidRDefault="00752D08" w:rsidP="000D6010">
      <w:pPr>
        <w:pStyle w:val="ListParagraph"/>
        <w:widowControl w:val="0"/>
        <w:numPr>
          <w:ilvl w:val="0"/>
          <w:numId w:val="6"/>
        </w:numPr>
        <w:autoSpaceDE w:val="0"/>
        <w:autoSpaceDN w:val="0"/>
        <w:adjustRightInd w:val="0"/>
        <w:spacing w:after="0" w:line="360" w:lineRule="auto"/>
        <w:ind w:left="714" w:hanging="357"/>
        <w:jc w:val="both"/>
        <w:rPr>
          <w:rFonts w:ascii="Arial" w:hAnsi="Arial" w:cs="Arial"/>
        </w:rPr>
      </w:pPr>
      <w:r w:rsidRPr="000D6010">
        <w:rPr>
          <w:rFonts w:ascii="Arial" w:hAnsi="Arial" w:cs="Arial"/>
        </w:rPr>
        <w:t>R</w:t>
      </w:r>
      <w:r w:rsidR="00F97BE4" w:rsidRPr="000D6010">
        <w:rPr>
          <w:rFonts w:ascii="Arial" w:hAnsi="Arial" w:cs="Arial"/>
        </w:rPr>
        <w:t xml:space="preserve"> </w:t>
      </w:r>
      <w:proofErr w:type="spellStart"/>
      <w:r w:rsidR="00F97BE4" w:rsidRPr="000D6010">
        <w:rPr>
          <w:rFonts w:ascii="Arial" w:hAnsi="Arial" w:cs="Arial"/>
        </w:rPr>
        <w:t>K</w:t>
      </w:r>
      <w:r w:rsidRPr="000D6010">
        <w:rPr>
          <w:rFonts w:ascii="Arial" w:hAnsi="Arial" w:cs="Arial"/>
        </w:rPr>
        <w:t>roupa</w:t>
      </w:r>
      <w:proofErr w:type="spellEnd"/>
      <w:r w:rsidR="00F97BE4" w:rsidRPr="000D6010">
        <w:rPr>
          <w:rFonts w:ascii="Arial" w:hAnsi="Arial" w:cs="Arial"/>
        </w:rPr>
        <w:t xml:space="preserve">, </w:t>
      </w:r>
      <w:hyperlink r:id="rId20" w:history="1">
        <w:r w:rsidR="0010170D" w:rsidRPr="000D6010">
          <w:rPr>
            <w:rFonts w:ascii="Arial" w:hAnsi="Arial" w:cs="Arial"/>
          </w:rPr>
          <w:t xml:space="preserve">A </w:t>
        </w:r>
        <w:proofErr w:type="spellStart"/>
        <w:r w:rsidR="0010170D" w:rsidRPr="000D6010">
          <w:rPr>
            <w:rFonts w:ascii="Arial" w:hAnsi="Arial" w:cs="Arial"/>
          </w:rPr>
          <w:t>Hep</w:t>
        </w:r>
        <w:proofErr w:type="spellEnd"/>
      </w:hyperlink>
      <w:r w:rsidRPr="000D6010">
        <w:rPr>
          <w:rFonts w:ascii="Arial" w:hAnsi="Arial" w:cs="Arial"/>
        </w:rPr>
        <w:t xml:space="preserve">, V </w:t>
      </w:r>
      <w:proofErr w:type="spellStart"/>
      <w:r w:rsidRPr="000D6010">
        <w:rPr>
          <w:rFonts w:ascii="Arial" w:hAnsi="Arial" w:cs="Arial"/>
        </w:rPr>
        <w:t>Valek</w:t>
      </w:r>
      <w:proofErr w:type="spellEnd"/>
      <w:r w:rsidRPr="000D6010">
        <w:rPr>
          <w:rFonts w:ascii="Arial" w:hAnsi="Arial" w:cs="Arial"/>
        </w:rPr>
        <w:t xml:space="preserve">, J </w:t>
      </w:r>
      <w:proofErr w:type="spellStart"/>
      <w:r w:rsidR="00F97BE4" w:rsidRPr="000D6010">
        <w:rPr>
          <w:rFonts w:ascii="Arial" w:hAnsi="Arial" w:cs="Arial"/>
        </w:rPr>
        <w:t>D</w:t>
      </w:r>
      <w:r w:rsidRPr="000D6010">
        <w:rPr>
          <w:rFonts w:ascii="Arial" w:hAnsi="Arial" w:cs="Arial"/>
        </w:rPr>
        <w:t>olina</w:t>
      </w:r>
      <w:proofErr w:type="spellEnd"/>
      <w:r w:rsidRPr="000D6010">
        <w:rPr>
          <w:rFonts w:ascii="Arial" w:hAnsi="Arial" w:cs="Arial"/>
        </w:rPr>
        <w:t xml:space="preserve"> et al. </w:t>
      </w:r>
      <w:r w:rsidR="0010170D" w:rsidRPr="000D6010">
        <w:rPr>
          <w:rFonts w:ascii="Arial" w:hAnsi="Arial" w:cs="Arial"/>
        </w:rPr>
        <w:t>Combined treatment of achalasia—Botulinum toxin injection followed by pneumatic dilatation: Long-term results</w:t>
      </w:r>
      <w:r w:rsidR="00F97BE4" w:rsidRPr="000D6010">
        <w:rPr>
          <w:rFonts w:ascii="Arial" w:hAnsi="Arial" w:cs="Arial"/>
        </w:rPr>
        <w:t xml:space="preserve">, </w:t>
      </w:r>
      <w:r w:rsidR="0010170D" w:rsidRPr="000D6010">
        <w:rPr>
          <w:rFonts w:ascii="Arial" w:hAnsi="Arial" w:cs="Arial"/>
        </w:rPr>
        <w:t>September 2009</w:t>
      </w:r>
      <w:r w:rsidR="00F97BE4" w:rsidRPr="000D6010">
        <w:rPr>
          <w:rFonts w:ascii="Arial" w:hAnsi="Arial" w:cs="Arial"/>
        </w:rPr>
        <w:t>.</w:t>
      </w:r>
      <w:hyperlink r:id="rId21" w:history="1">
        <w:r w:rsidR="0010170D" w:rsidRPr="000D6010">
          <w:rPr>
            <w:rFonts w:ascii="Arial" w:hAnsi="Arial" w:cs="Arial"/>
          </w:rPr>
          <w:t>Diseases of the Esophagus</w:t>
        </w:r>
      </w:hyperlink>
      <w:r w:rsidR="0010170D" w:rsidRPr="000D6010">
        <w:rPr>
          <w:rFonts w:ascii="Arial" w:hAnsi="Arial" w:cs="Arial"/>
        </w:rPr>
        <w:t xml:space="preserve"> 23(2)</w:t>
      </w:r>
      <w:r w:rsidR="00F97BE4" w:rsidRPr="000D6010">
        <w:rPr>
          <w:rFonts w:ascii="Arial" w:hAnsi="Arial" w:cs="Arial"/>
        </w:rPr>
        <w:t>: 100</w:t>
      </w:r>
      <w:r w:rsidR="0010170D" w:rsidRPr="000D6010">
        <w:rPr>
          <w:rFonts w:ascii="Arial" w:hAnsi="Arial" w:cs="Arial"/>
        </w:rPr>
        <w:t>-5</w:t>
      </w:r>
      <w:r w:rsidR="00C64E5D" w:rsidRPr="000D6010">
        <w:rPr>
          <w:rFonts w:ascii="Arial" w:hAnsi="Arial" w:cs="Arial"/>
        </w:rPr>
        <w:t>.</w:t>
      </w:r>
    </w:p>
    <w:p w14:paraId="67F33EBD" w14:textId="77777777" w:rsidR="00AC4E2B" w:rsidRPr="000D6010" w:rsidRDefault="00C64E5D" w:rsidP="000D6010">
      <w:pPr>
        <w:pStyle w:val="ListParagraph"/>
        <w:widowControl w:val="0"/>
        <w:numPr>
          <w:ilvl w:val="0"/>
          <w:numId w:val="6"/>
        </w:numPr>
        <w:autoSpaceDE w:val="0"/>
        <w:autoSpaceDN w:val="0"/>
        <w:adjustRightInd w:val="0"/>
        <w:spacing w:after="0" w:line="360" w:lineRule="auto"/>
        <w:ind w:left="714" w:hanging="357"/>
        <w:jc w:val="both"/>
        <w:rPr>
          <w:rFonts w:ascii="Arial" w:hAnsi="Arial" w:cs="Arial"/>
        </w:rPr>
      </w:pPr>
      <w:proofErr w:type="spellStart"/>
      <w:r w:rsidRPr="000D6010">
        <w:rPr>
          <w:rFonts w:ascii="Arial" w:hAnsi="Arial" w:cs="Arial"/>
        </w:rPr>
        <w:t>Jameshorani</w:t>
      </w:r>
      <w:proofErr w:type="spellEnd"/>
      <w:r w:rsidRPr="000D6010">
        <w:rPr>
          <w:rFonts w:ascii="Arial" w:hAnsi="Arial" w:cs="Arial"/>
        </w:rPr>
        <w:t xml:space="preserve"> M, </w:t>
      </w:r>
      <w:proofErr w:type="spellStart"/>
      <w:r w:rsidRPr="000D6010">
        <w:rPr>
          <w:rFonts w:ascii="Arial" w:hAnsi="Arial" w:cs="Arial"/>
        </w:rPr>
        <w:t>Anushiravani</w:t>
      </w:r>
      <w:proofErr w:type="spellEnd"/>
      <w:r w:rsidRPr="000D6010">
        <w:rPr>
          <w:rFonts w:ascii="Arial" w:hAnsi="Arial" w:cs="Arial"/>
        </w:rPr>
        <w:t xml:space="preserve"> A, </w:t>
      </w:r>
      <w:proofErr w:type="spellStart"/>
      <w:r w:rsidRPr="000D6010">
        <w:rPr>
          <w:rFonts w:ascii="Arial" w:hAnsi="Arial" w:cs="Arial"/>
        </w:rPr>
        <w:t>Fazlollahi</w:t>
      </w:r>
      <w:proofErr w:type="spellEnd"/>
      <w:r w:rsidRPr="000D6010">
        <w:rPr>
          <w:rFonts w:ascii="Arial" w:hAnsi="Arial" w:cs="Arial"/>
        </w:rPr>
        <w:t xml:space="preserve"> N, </w:t>
      </w:r>
      <w:proofErr w:type="spellStart"/>
      <w:r w:rsidRPr="000D6010">
        <w:rPr>
          <w:rFonts w:ascii="Arial" w:hAnsi="Arial" w:cs="Arial"/>
        </w:rPr>
        <w:t>Amani</w:t>
      </w:r>
      <w:proofErr w:type="spellEnd"/>
      <w:r w:rsidRPr="000D6010">
        <w:rPr>
          <w:rFonts w:ascii="Arial" w:hAnsi="Arial" w:cs="Arial"/>
        </w:rPr>
        <w:t xml:space="preserve"> M, </w:t>
      </w:r>
      <w:proofErr w:type="spellStart"/>
      <w:r w:rsidRPr="000D6010">
        <w:rPr>
          <w:rFonts w:ascii="Arial" w:hAnsi="Arial" w:cs="Arial"/>
        </w:rPr>
        <w:t>Mikaeli</w:t>
      </w:r>
      <w:proofErr w:type="spellEnd"/>
      <w:r w:rsidRPr="000D6010">
        <w:rPr>
          <w:rFonts w:ascii="Arial" w:hAnsi="Arial" w:cs="Arial"/>
        </w:rPr>
        <w:t xml:space="preserve"> J. Long-Term </w:t>
      </w:r>
      <w:proofErr w:type="spellStart"/>
      <w:r w:rsidRPr="000D6010">
        <w:rPr>
          <w:rFonts w:ascii="Arial" w:hAnsi="Arial" w:cs="Arial"/>
        </w:rPr>
        <w:t>Ef</w:t>
      </w:r>
      <w:proofErr w:type="spellEnd"/>
      <w:r w:rsidRPr="000D6010">
        <w:rPr>
          <w:rFonts w:ascii="Arial" w:hAnsi="Arial" w:cs="Arial"/>
        </w:rPr>
        <w:t xml:space="preserve"> </w:t>
      </w:r>
      <w:proofErr w:type="spellStart"/>
      <w:r w:rsidRPr="000D6010">
        <w:rPr>
          <w:rFonts w:ascii="Arial" w:hAnsi="Arial" w:cs="Arial"/>
        </w:rPr>
        <w:t>cacy</w:t>
      </w:r>
      <w:proofErr w:type="spellEnd"/>
      <w:r w:rsidRPr="000D6010">
        <w:rPr>
          <w:rFonts w:ascii="Arial" w:hAnsi="Arial" w:cs="Arial"/>
        </w:rPr>
        <w:t xml:space="preserve"> of Combined Treatment in Idiopathic Achalasia Patients. Japanese journal of gastroenterology and Hepatology, 2019; V2 (3): 1-3.</w:t>
      </w:r>
    </w:p>
    <w:p w14:paraId="200FE98C" w14:textId="52D30019" w:rsidR="0010170D" w:rsidRPr="0010170D" w:rsidRDefault="0010170D" w:rsidP="00350CC4">
      <w:pPr>
        <w:widowControl w:val="0"/>
        <w:numPr>
          <w:ilvl w:val="0"/>
          <w:numId w:val="4"/>
        </w:numPr>
        <w:tabs>
          <w:tab w:val="left" w:pos="220"/>
          <w:tab w:val="left" w:pos="720"/>
        </w:tabs>
        <w:autoSpaceDE w:val="0"/>
        <w:autoSpaceDN w:val="0"/>
        <w:adjustRightInd w:val="0"/>
        <w:spacing w:after="0" w:line="360" w:lineRule="auto"/>
        <w:ind w:hanging="720"/>
        <w:jc w:val="both"/>
        <w:rPr>
          <w:rFonts w:ascii="Arial" w:hAnsi="Arial" w:cs="Arial"/>
        </w:rPr>
      </w:pPr>
    </w:p>
    <w:p w14:paraId="1D7F5F40" w14:textId="3246009F" w:rsidR="0010170D" w:rsidRPr="0010170D" w:rsidRDefault="0010170D" w:rsidP="00EE2886">
      <w:pPr>
        <w:widowControl w:val="0"/>
        <w:numPr>
          <w:ilvl w:val="0"/>
          <w:numId w:val="5"/>
        </w:numPr>
        <w:tabs>
          <w:tab w:val="left" w:pos="220"/>
          <w:tab w:val="left" w:pos="720"/>
        </w:tabs>
        <w:autoSpaceDE w:val="0"/>
        <w:autoSpaceDN w:val="0"/>
        <w:adjustRightInd w:val="0"/>
        <w:spacing w:after="0" w:line="360" w:lineRule="auto"/>
        <w:ind w:hanging="720"/>
        <w:jc w:val="both"/>
        <w:rPr>
          <w:rFonts w:ascii="Arial" w:hAnsi="Arial" w:cs="Arial"/>
        </w:rPr>
      </w:pPr>
      <w:r w:rsidRPr="0010170D">
        <w:rPr>
          <w:rFonts w:ascii="Arial" w:hAnsi="Arial" w:cs="Arial"/>
        </w:rPr>
        <w:tab/>
      </w:r>
      <w:r w:rsidRPr="0010170D">
        <w:rPr>
          <w:rFonts w:ascii="Arial" w:hAnsi="Arial" w:cs="Arial"/>
        </w:rPr>
        <w:tab/>
      </w:r>
      <w:r w:rsidRPr="0010170D">
        <w:rPr>
          <w:rFonts w:ascii="Arial" w:hAnsi="Arial" w:cs="Arial"/>
        </w:rPr>
        <w:fldChar w:fldCharType="begin"/>
      </w:r>
      <w:r w:rsidRPr="0010170D">
        <w:rPr>
          <w:rFonts w:ascii="Arial" w:hAnsi="Arial" w:cs="Arial"/>
        </w:rPr>
        <w:instrText>HYPERLINK "https://www.researchgate.net/profile/Radek_Kroupa"</w:instrText>
      </w:r>
      <w:r w:rsidRPr="0010170D">
        <w:rPr>
          <w:rFonts w:ascii="Arial" w:hAnsi="Arial" w:cs="Arial"/>
        </w:rPr>
        <w:fldChar w:fldCharType="separate"/>
      </w:r>
      <w:r w:rsidRPr="0010170D">
        <w:rPr>
          <w:rFonts w:ascii="Arial" w:hAnsi="Arial" w:cs="Arial"/>
        </w:rPr>
        <w:t>  </w:t>
      </w:r>
    </w:p>
    <w:p w14:paraId="3AECCC0D" w14:textId="56DFFAB0" w:rsidR="006112DC" w:rsidRDefault="0010170D" w:rsidP="00EE2886">
      <w:pPr>
        <w:widowControl w:val="0"/>
        <w:numPr>
          <w:ilvl w:val="0"/>
          <w:numId w:val="5"/>
        </w:numPr>
        <w:tabs>
          <w:tab w:val="left" w:pos="220"/>
          <w:tab w:val="left" w:pos="720"/>
        </w:tabs>
        <w:autoSpaceDE w:val="0"/>
        <w:autoSpaceDN w:val="0"/>
        <w:adjustRightInd w:val="0"/>
        <w:spacing w:after="0" w:line="360" w:lineRule="auto"/>
        <w:ind w:hanging="720"/>
        <w:jc w:val="both"/>
        <w:rPr>
          <w:rFonts w:ascii="Arial" w:hAnsi="Arial" w:cs="Arial"/>
        </w:rPr>
      </w:pPr>
      <w:r w:rsidRPr="0010170D">
        <w:rPr>
          <w:rFonts w:ascii="Arial" w:hAnsi="Arial" w:cs="Arial"/>
        </w:rPr>
        <w:fldChar w:fldCharType="end"/>
      </w:r>
      <w:r w:rsidRPr="0010170D">
        <w:rPr>
          <w:rFonts w:ascii="Arial" w:hAnsi="Arial" w:cs="Arial"/>
        </w:rPr>
        <w:tab/>
      </w:r>
      <w:r w:rsidRPr="0010170D">
        <w:rPr>
          <w:rFonts w:ascii="Arial" w:hAnsi="Arial" w:cs="Arial"/>
        </w:rPr>
        <w:tab/>
      </w:r>
    </w:p>
    <w:p w14:paraId="347C9A15" w14:textId="77777777" w:rsidR="00424C27" w:rsidRDefault="00424C27" w:rsidP="00424C27">
      <w:pPr>
        <w:widowControl w:val="0"/>
        <w:tabs>
          <w:tab w:val="left" w:pos="220"/>
          <w:tab w:val="left" w:pos="720"/>
        </w:tabs>
        <w:autoSpaceDE w:val="0"/>
        <w:autoSpaceDN w:val="0"/>
        <w:adjustRightInd w:val="0"/>
        <w:spacing w:after="0" w:line="360" w:lineRule="auto"/>
        <w:jc w:val="both"/>
        <w:rPr>
          <w:rFonts w:ascii="Arial" w:hAnsi="Arial" w:cs="Arial"/>
        </w:rPr>
      </w:pPr>
    </w:p>
    <w:p w14:paraId="49B29735" w14:textId="77777777" w:rsidR="00424C27" w:rsidRDefault="00424C27" w:rsidP="00424C27">
      <w:pPr>
        <w:widowControl w:val="0"/>
        <w:tabs>
          <w:tab w:val="left" w:pos="220"/>
          <w:tab w:val="left" w:pos="720"/>
        </w:tabs>
        <w:autoSpaceDE w:val="0"/>
        <w:autoSpaceDN w:val="0"/>
        <w:adjustRightInd w:val="0"/>
        <w:spacing w:after="0" w:line="360" w:lineRule="auto"/>
        <w:jc w:val="both"/>
        <w:rPr>
          <w:rFonts w:ascii="Arial" w:hAnsi="Arial" w:cs="Arial"/>
        </w:rPr>
      </w:pPr>
    </w:p>
    <w:p w14:paraId="635FAF62" w14:textId="68D8285A" w:rsidR="00424C27" w:rsidRPr="00424C27" w:rsidRDefault="00424C27" w:rsidP="00424C27">
      <w:pPr>
        <w:widowControl w:val="0"/>
        <w:tabs>
          <w:tab w:val="left" w:pos="220"/>
          <w:tab w:val="left" w:pos="720"/>
        </w:tabs>
        <w:autoSpaceDE w:val="0"/>
        <w:autoSpaceDN w:val="0"/>
        <w:adjustRightInd w:val="0"/>
        <w:spacing w:after="0" w:line="360" w:lineRule="auto"/>
        <w:jc w:val="both"/>
        <w:rPr>
          <w:rFonts w:ascii="Arial" w:hAnsi="Arial" w:cs="Arial"/>
          <w:b/>
        </w:rPr>
      </w:pPr>
      <w:r w:rsidRPr="00424C27">
        <w:rPr>
          <w:rFonts w:ascii="Arial" w:hAnsi="Arial" w:cs="Arial"/>
          <w:b/>
        </w:rPr>
        <w:lastRenderedPageBreak/>
        <w:t>Figures:</w:t>
      </w:r>
    </w:p>
    <w:p w14:paraId="2B2FF42B" w14:textId="77777777" w:rsidR="00424C27" w:rsidRDefault="00424C27" w:rsidP="00424C27">
      <w:pPr>
        <w:widowControl w:val="0"/>
        <w:tabs>
          <w:tab w:val="left" w:pos="220"/>
          <w:tab w:val="left" w:pos="720"/>
        </w:tabs>
        <w:autoSpaceDE w:val="0"/>
        <w:autoSpaceDN w:val="0"/>
        <w:adjustRightInd w:val="0"/>
        <w:spacing w:after="0" w:line="360" w:lineRule="auto"/>
        <w:jc w:val="both"/>
        <w:rPr>
          <w:rFonts w:ascii="Arial" w:hAnsi="Arial" w:cs="Arial"/>
        </w:rPr>
      </w:pPr>
    </w:p>
    <w:p w14:paraId="3405B1BB" w14:textId="77777777" w:rsidR="00424C27" w:rsidRDefault="00424C27" w:rsidP="00424C27">
      <w:r w:rsidRPr="008378A7">
        <w:rPr>
          <w:noProof/>
          <w:lang w:val="en-IN" w:eastAsia="en-IN"/>
        </w:rPr>
        <w:drawing>
          <wp:inline distT="0" distB="0" distL="0" distR="0" wp14:anchorId="6E2CD3D9" wp14:editId="48C82FA1">
            <wp:extent cx="2623820" cy="17983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22">
                      <a:extLst>
                        <a:ext uri="{28A0092B-C50C-407E-A947-70E740481C1C}">
                          <a14:useLocalDpi xmlns:a14="http://schemas.microsoft.com/office/drawing/2010/main" val="0"/>
                        </a:ext>
                      </a:extLst>
                    </a:blip>
                    <a:stretch>
                      <a:fillRect/>
                    </a:stretch>
                  </pic:blipFill>
                  <pic:spPr>
                    <a:xfrm>
                      <a:off x="0" y="0"/>
                      <a:ext cx="2625453" cy="1799439"/>
                    </a:xfrm>
                    <a:prstGeom prst="rect">
                      <a:avLst/>
                    </a:prstGeom>
                  </pic:spPr>
                </pic:pic>
              </a:graphicData>
            </a:graphic>
          </wp:inline>
        </w:drawing>
      </w:r>
      <w:r w:rsidRPr="008378A7">
        <w:rPr>
          <w:noProof/>
          <w:lang w:val="en-IN" w:eastAsia="en-IN"/>
        </w:rPr>
        <w:drawing>
          <wp:inline distT="0" distB="0" distL="0" distR="0" wp14:anchorId="42D820CF" wp14:editId="786F7F8F">
            <wp:extent cx="2522220" cy="18040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jpg"/>
                    <pic:cNvPicPr/>
                  </pic:nvPicPr>
                  <pic:blipFill>
                    <a:blip r:embed="rId23">
                      <a:extLst>
                        <a:ext uri="{28A0092B-C50C-407E-A947-70E740481C1C}">
                          <a14:useLocalDpi xmlns:a14="http://schemas.microsoft.com/office/drawing/2010/main" val="0"/>
                        </a:ext>
                      </a:extLst>
                    </a:blip>
                    <a:stretch>
                      <a:fillRect/>
                    </a:stretch>
                  </pic:blipFill>
                  <pic:spPr>
                    <a:xfrm>
                      <a:off x="0" y="0"/>
                      <a:ext cx="2524092" cy="1805374"/>
                    </a:xfrm>
                    <a:prstGeom prst="rect">
                      <a:avLst/>
                    </a:prstGeom>
                  </pic:spPr>
                </pic:pic>
              </a:graphicData>
            </a:graphic>
          </wp:inline>
        </w:drawing>
      </w:r>
    </w:p>
    <w:p w14:paraId="59801EC3" w14:textId="77777777" w:rsidR="00424C27" w:rsidRDefault="00424C27" w:rsidP="00424C27"/>
    <w:p w14:paraId="2328F1CA" w14:textId="77777777" w:rsidR="00424C27" w:rsidRDefault="00424C27" w:rsidP="00424C27">
      <w:pPr>
        <w:jc w:val="center"/>
      </w:pPr>
      <w:r w:rsidRPr="008378A7">
        <w:rPr>
          <w:rFonts w:ascii="Arial" w:hAnsi="Arial" w:cs="Arial"/>
          <w:b/>
        </w:rPr>
        <w:t>Fig. 1&amp;2:</w:t>
      </w:r>
      <w:r>
        <w:t xml:space="preserve"> </w:t>
      </w:r>
      <w:r w:rsidRPr="008378A7">
        <w:rPr>
          <w:rFonts w:ascii="Arial" w:hAnsi="Arial" w:cs="Arial"/>
        </w:rPr>
        <w:t>demonstrate injection of 100 units of Botulinum A toxins 25 U in a four quadrant fashion deep in the esophageal muscle (note that there was no sub mucosal elevation denoting deep intramuscular injection)</w:t>
      </w:r>
    </w:p>
    <w:p w14:paraId="74D088C7" w14:textId="77777777" w:rsidR="00424C27" w:rsidRDefault="00424C27" w:rsidP="00424C27"/>
    <w:p w14:paraId="7F1C358C" w14:textId="77777777" w:rsidR="00424C27" w:rsidRDefault="00424C27" w:rsidP="00424C27"/>
    <w:p w14:paraId="783F346A" w14:textId="77777777" w:rsidR="00424C27" w:rsidRDefault="00424C27" w:rsidP="00424C27"/>
    <w:p w14:paraId="2BCAD0C1" w14:textId="77777777" w:rsidR="00424C27" w:rsidRDefault="00424C27" w:rsidP="00424C27">
      <w:r>
        <w:rPr>
          <w:noProof/>
          <w:lang w:val="en-IN" w:eastAsia="en-IN"/>
        </w:rPr>
        <w:drawing>
          <wp:inline distT="0" distB="0" distL="0" distR="0" wp14:anchorId="687D9366" wp14:editId="348C9309">
            <wp:extent cx="2623820" cy="1987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jpg"/>
                    <pic:cNvPicPr/>
                  </pic:nvPicPr>
                  <pic:blipFill>
                    <a:blip r:embed="rId24">
                      <a:extLst>
                        <a:ext uri="{28A0092B-C50C-407E-A947-70E740481C1C}">
                          <a14:useLocalDpi xmlns:a14="http://schemas.microsoft.com/office/drawing/2010/main" val="0"/>
                        </a:ext>
                      </a:extLst>
                    </a:blip>
                    <a:stretch>
                      <a:fillRect/>
                    </a:stretch>
                  </pic:blipFill>
                  <pic:spPr>
                    <a:xfrm>
                      <a:off x="0" y="0"/>
                      <a:ext cx="2624651" cy="1987904"/>
                    </a:xfrm>
                    <a:prstGeom prst="rect">
                      <a:avLst/>
                    </a:prstGeom>
                  </pic:spPr>
                </pic:pic>
              </a:graphicData>
            </a:graphic>
          </wp:inline>
        </w:drawing>
      </w:r>
      <w:r w:rsidRPr="008378A7">
        <w:rPr>
          <w:noProof/>
          <w:lang w:val="en-IN" w:eastAsia="en-IN"/>
        </w:rPr>
        <w:drawing>
          <wp:inline distT="0" distB="0" distL="0" distR="0" wp14:anchorId="0FF19817" wp14:editId="42645956">
            <wp:extent cx="2478928" cy="1983740"/>
            <wp:effectExtent l="0" t="0" r="1079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jpg"/>
                    <pic:cNvPicPr/>
                  </pic:nvPicPr>
                  <pic:blipFill>
                    <a:blip r:embed="rId25">
                      <a:extLst>
                        <a:ext uri="{28A0092B-C50C-407E-A947-70E740481C1C}">
                          <a14:useLocalDpi xmlns:a14="http://schemas.microsoft.com/office/drawing/2010/main" val="0"/>
                        </a:ext>
                      </a:extLst>
                    </a:blip>
                    <a:stretch>
                      <a:fillRect/>
                    </a:stretch>
                  </pic:blipFill>
                  <pic:spPr>
                    <a:xfrm>
                      <a:off x="0" y="0"/>
                      <a:ext cx="2479694" cy="1984353"/>
                    </a:xfrm>
                    <a:prstGeom prst="rect">
                      <a:avLst/>
                    </a:prstGeom>
                  </pic:spPr>
                </pic:pic>
              </a:graphicData>
            </a:graphic>
          </wp:inline>
        </w:drawing>
      </w:r>
    </w:p>
    <w:p w14:paraId="1EB73489" w14:textId="77777777" w:rsidR="00424C27" w:rsidRDefault="00424C27" w:rsidP="00424C27"/>
    <w:p w14:paraId="75673CFD" w14:textId="77777777" w:rsidR="00424C27" w:rsidRDefault="00424C27" w:rsidP="00424C27">
      <w:pPr>
        <w:jc w:val="center"/>
        <w:rPr>
          <w:rFonts w:ascii="Arial" w:hAnsi="Arial" w:cs="Arial"/>
        </w:rPr>
      </w:pPr>
      <w:r>
        <w:rPr>
          <w:rFonts w:ascii="Arial" w:hAnsi="Arial" w:cs="Arial"/>
          <w:b/>
        </w:rPr>
        <w:t>Fig. 3&amp;4</w:t>
      </w:r>
      <w:r w:rsidRPr="008378A7">
        <w:rPr>
          <w:rFonts w:ascii="Arial" w:hAnsi="Arial" w:cs="Arial"/>
          <w:b/>
        </w:rPr>
        <w:t>:</w:t>
      </w:r>
      <w:r>
        <w:t xml:space="preserve"> </w:t>
      </w:r>
      <w:r>
        <w:rPr>
          <w:rFonts w:ascii="Arial" w:hAnsi="Arial" w:cs="Arial"/>
        </w:rPr>
        <w:t>illustrate the second step in COMBO technique that is the dilation procedure by achalasia balloon graded gradually to reach 40 mm diameter</w:t>
      </w:r>
    </w:p>
    <w:p w14:paraId="149BB238" w14:textId="77777777" w:rsidR="00424C27" w:rsidRDefault="00424C27" w:rsidP="00424C27">
      <w:pPr>
        <w:jc w:val="center"/>
        <w:rPr>
          <w:rFonts w:ascii="Arial" w:hAnsi="Arial" w:cs="Arial"/>
        </w:rPr>
      </w:pPr>
    </w:p>
    <w:p w14:paraId="3410CF02" w14:textId="77777777" w:rsidR="00424C27" w:rsidRDefault="00424C27" w:rsidP="00424C27">
      <w:pPr>
        <w:jc w:val="center"/>
      </w:pPr>
    </w:p>
    <w:p w14:paraId="03E25034" w14:textId="77777777" w:rsidR="00424C27" w:rsidRDefault="00424C27" w:rsidP="00424C27">
      <w:r w:rsidRPr="004D3A8C">
        <w:rPr>
          <w:noProof/>
          <w:lang w:val="en-IN" w:eastAsia="en-IN"/>
        </w:rPr>
        <w:lastRenderedPageBreak/>
        <w:drawing>
          <wp:inline distT="0" distB="0" distL="0" distR="0" wp14:anchorId="1EC40DD0" wp14:editId="6252A8AC">
            <wp:extent cx="2509520" cy="2274493"/>
            <wp:effectExtent l="0" t="0" r="508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jpg"/>
                    <pic:cNvPicPr/>
                  </pic:nvPicPr>
                  <pic:blipFill>
                    <a:blip r:embed="rId26">
                      <a:extLst>
                        <a:ext uri="{28A0092B-C50C-407E-A947-70E740481C1C}">
                          <a14:useLocalDpi xmlns:a14="http://schemas.microsoft.com/office/drawing/2010/main" val="0"/>
                        </a:ext>
                      </a:extLst>
                    </a:blip>
                    <a:stretch>
                      <a:fillRect/>
                    </a:stretch>
                  </pic:blipFill>
                  <pic:spPr>
                    <a:xfrm>
                      <a:off x="0" y="0"/>
                      <a:ext cx="2509605" cy="2274570"/>
                    </a:xfrm>
                    <a:prstGeom prst="rect">
                      <a:avLst/>
                    </a:prstGeom>
                  </pic:spPr>
                </pic:pic>
              </a:graphicData>
            </a:graphic>
          </wp:inline>
        </w:drawing>
      </w:r>
      <w:r w:rsidRPr="004D3A8C">
        <w:rPr>
          <w:noProof/>
          <w:lang w:val="en-IN" w:eastAsia="en-IN"/>
        </w:rPr>
        <w:drawing>
          <wp:inline distT="0" distB="0" distL="0" distR="0" wp14:anchorId="181DAC99" wp14:editId="45732274">
            <wp:extent cx="2743200" cy="22900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jpg"/>
                    <pic:cNvPicPr/>
                  </pic:nvPicPr>
                  <pic:blipFill>
                    <a:blip r:embed="rId27">
                      <a:extLst>
                        <a:ext uri="{28A0092B-C50C-407E-A947-70E740481C1C}">
                          <a14:useLocalDpi xmlns:a14="http://schemas.microsoft.com/office/drawing/2010/main" val="0"/>
                        </a:ext>
                      </a:extLst>
                    </a:blip>
                    <a:stretch>
                      <a:fillRect/>
                    </a:stretch>
                  </pic:blipFill>
                  <pic:spPr>
                    <a:xfrm>
                      <a:off x="0" y="0"/>
                      <a:ext cx="2743625" cy="2290445"/>
                    </a:xfrm>
                    <a:prstGeom prst="rect">
                      <a:avLst/>
                    </a:prstGeom>
                  </pic:spPr>
                </pic:pic>
              </a:graphicData>
            </a:graphic>
          </wp:inline>
        </w:drawing>
      </w:r>
    </w:p>
    <w:p w14:paraId="1C2B9184" w14:textId="77777777" w:rsidR="00424C27" w:rsidRDefault="00424C27" w:rsidP="00424C27"/>
    <w:p w14:paraId="4E7A3863" w14:textId="77777777" w:rsidR="00424C27" w:rsidRDefault="00424C27" w:rsidP="00424C27">
      <w:pPr>
        <w:jc w:val="center"/>
        <w:rPr>
          <w:rFonts w:ascii="Arial" w:hAnsi="Arial" w:cs="Arial"/>
        </w:rPr>
      </w:pPr>
      <w:r>
        <w:rPr>
          <w:rFonts w:ascii="Arial" w:hAnsi="Arial" w:cs="Arial"/>
          <w:b/>
        </w:rPr>
        <w:t>Fig. 5&amp;6</w:t>
      </w:r>
      <w:r w:rsidRPr="008378A7">
        <w:rPr>
          <w:rFonts w:ascii="Arial" w:hAnsi="Arial" w:cs="Arial"/>
          <w:b/>
        </w:rPr>
        <w:t>:</w:t>
      </w:r>
      <w:r>
        <w:t xml:space="preserve"> </w:t>
      </w:r>
      <w:r>
        <w:rPr>
          <w:rFonts w:ascii="Arial" w:hAnsi="Arial" w:cs="Arial"/>
        </w:rPr>
        <w:t xml:space="preserve">showed the novel third added step in COMBO technique that is mechanical dilation procedure by the rotating the retroflexed scope which is done in 3 cycle sequence each cycle last 30 seconds with 30 seconds between each cycle (note the adequate adjustment of the maximum diameter of the circumference of the C shaped part of the scope without trying not to push the whole c shaped part inside the esophageal lumen)   </w:t>
      </w:r>
    </w:p>
    <w:p w14:paraId="70E6C419" w14:textId="5A6FC5D9" w:rsidR="00424C27" w:rsidRDefault="00424C27" w:rsidP="00424C27">
      <w:r>
        <w:rPr>
          <w:noProof/>
          <w:lang w:val="en-IN" w:eastAsia="en-IN"/>
        </w:rPr>
        <w:lastRenderedPageBreak/>
        <w:drawing>
          <wp:inline distT="0" distB="0" distL="0" distR="0" wp14:anchorId="6CFD90CF" wp14:editId="56A938C7">
            <wp:extent cx="2623820" cy="22885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jpg"/>
                    <pic:cNvPicPr/>
                  </pic:nvPicPr>
                  <pic:blipFill>
                    <a:blip r:embed="rId28">
                      <a:extLst>
                        <a:ext uri="{28A0092B-C50C-407E-A947-70E740481C1C}">
                          <a14:useLocalDpi xmlns:a14="http://schemas.microsoft.com/office/drawing/2010/main" val="0"/>
                        </a:ext>
                      </a:extLst>
                    </a:blip>
                    <a:stretch>
                      <a:fillRect/>
                    </a:stretch>
                  </pic:blipFill>
                  <pic:spPr>
                    <a:xfrm>
                      <a:off x="0" y="0"/>
                      <a:ext cx="2628244" cy="2292399"/>
                    </a:xfrm>
                    <a:prstGeom prst="rect">
                      <a:avLst/>
                    </a:prstGeom>
                  </pic:spPr>
                </pic:pic>
              </a:graphicData>
            </a:graphic>
          </wp:inline>
        </w:drawing>
      </w:r>
      <w:r>
        <w:rPr>
          <w:noProof/>
          <w:lang w:val="en-IN" w:eastAsia="en-IN"/>
        </w:rPr>
        <w:drawing>
          <wp:inline distT="0" distB="0" distL="0" distR="0" wp14:anchorId="34F41391" wp14:editId="0A2EE625">
            <wp:extent cx="2857500" cy="2297430"/>
            <wp:effectExtent l="0" t="0" r="1270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jpg"/>
                    <pic:cNvPicPr/>
                  </pic:nvPicPr>
                  <pic:blipFill>
                    <a:blip r:embed="rId29">
                      <a:extLst>
                        <a:ext uri="{28A0092B-C50C-407E-A947-70E740481C1C}">
                          <a14:useLocalDpi xmlns:a14="http://schemas.microsoft.com/office/drawing/2010/main" val="0"/>
                        </a:ext>
                      </a:extLst>
                    </a:blip>
                    <a:stretch>
                      <a:fillRect/>
                    </a:stretch>
                  </pic:blipFill>
                  <pic:spPr>
                    <a:xfrm>
                      <a:off x="0" y="0"/>
                      <a:ext cx="2861612" cy="2300736"/>
                    </a:xfrm>
                    <a:prstGeom prst="rect">
                      <a:avLst/>
                    </a:prstGeom>
                  </pic:spPr>
                </pic:pic>
              </a:graphicData>
            </a:graphic>
          </wp:inline>
        </w:drawing>
      </w:r>
      <w:r>
        <w:rPr>
          <w:noProof/>
          <w:lang w:val="en-IN" w:eastAsia="en-IN"/>
        </w:rPr>
        <w:drawing>
          <wp:inline distT="0" distB="0" distL="0" distR="0" wp14:anchorId="0C801B0D" wp14:editId="3613CEF6">
            <wp:extent cx="5486400" cy="238781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8.jpg"/>
                    <pic:cNvPicPr/>
                  </pic:nvPicPr>
                  <pic:blipFill>
                    <a:blip r:embed="rId30">
                      <a:extLst>
                        <a:ext uri="{28A0092B-C50C-407E-A947-70E740481C1C}">
                          <a14:useLocalDpi xmlns:a14="http://schemas.microsoft.com/office/drawing/2010/main" val="0"/>
                        </a:ext>
                      </a:extLst>
                    </a:blip>
                    <a:stretch>
                      <a:fillRect/>
                    </a:stretch>
                  </pic:blipFill>
                  <pic:spPr>
                    <a:xfrm>
                      <a:off x="0" y="0"/>
                      <a:ext cx="5488373" cy="2388670"/>
                    </a:xfrm>
                    <a:prstGeom prst="rect">
                      <a:avLst/>
                    </a:prstGeom>
                  </pic:spPr>
                </pic:pic>
              </a:graphicData>
            </a:graphic>
          </wp:inline>
        </w:drawing>
      </w:r>
    </w:p>
    <w:p w14:paraId="5FFDD5E9" w14:textId="77777777" w:rsidR="00424C27" w:rsidRDefault="00424C27" w:rsidP="00424C27"/>
    <w:p w14:paraId="28043BF7" w14:textId="77777777" w:rsidR="00424C27" w:rsidRDefault="00424C27" w:rsidP="00424C27"/>
    <w:p w14:paraId="457D30EC" w14:textId="2FBE17D9" w:rsidR="00424C27" w:rsidRDefault="00424C27" w:rsidP="00424C27">
      <w:pPr>
        <w:jc w:val="center"/>
      </w:pPr>
      <w:r>
        <w:rPr>
          <w:rFonts w:ascii="Arial" w:hAnsi="Arial" w:cs="Arial"/>
          <w:b/>
        </w:rPr>
        <w:t xml:space="preserve">(Fig. 7,8 &amp; 9): </w:t>
      </w:r>
      <w:r w:rsidRPr="00424C27">
        <w:rPr>
          <w:rFonts w:ascii="Arial" w:hAnsi="Arial" w:cs="Arial"/>
        </w:rPr>
        <w:t xml:space="preserve">illustration of the good dilation of the cardia Post-COMBO </w:t>
      </w:r>
      <w:r w:rsidRPr="00424C27">
        <w:rPr>
          <w:rFonts w:ascii="Arial" w:hAnsi="Arial" w:cs="Arial"/>
          <w:b/>
        </w:rPr>
        <w:t>(7)</w:t>
      </w:r>
      <w:r>
        <w:rPr>
          <w:rFonts w:ascii="Arial" w:hAnsi="Arial" w:cs="Arial"/>
          <w:b/>
        </w:rPr>
        <w:t xml:space="preserve"> </w:t>
      </w:r>
      <w:r w:rsidRPr="00424C27">
        <w:rPr>
          <w:rFonts w:ascii="Arial" w:hAnsi="Arial" w:cs="Arial"/>
        </w:rPr>
        <w:t xml:space="preserve">-rinsing of the dilated cardia by methylene blue to exclude any site of Post-COMBO perforations </w:t>
      </w:r>
      <w:r w:rsidRPr="00424C27">
        <w:rPr>
          <w:rFonts w:ascii="Arial" w:hAnsi="Arial" w:cs="Arial"/>
          <w:b/>
        </w:rPr>
        <w:t>(8)</w:t>
      </w:r>
      <w:r w:rsidRPr="00424C27">
        <w:rPr>
          <w:rFonts w:ascii="Arial" w:hAnsi="Arial" w:cs="Arial"/>
        </w:rPr>
        <w:t xml:space="preserve">- Retroflexion position to ascertain adequate dilatation process with roomy space observed between the scope of the lower esophageal sphincter with checking of any bleeding spot </w:t>
      </w:r>
      <w:r w:rsidRPr="00424C27">
        <w:rPr>
          <w:rFonts w:ascii="Arial" w:hAnsi="Arial" w:cs="Arial"/>
          <w:b/>
        </w:rPr>
        <w:t>(9)</w:t>
      </w:r>
      <w:r w:rsidRPr="00424C27">
        <w:rPr>
          <w:rFonts w:ascii="Arial" w:hAnsi="Arial" w:cs="Arial"/>
        </w:rPr>
        <w:t>.</w:t>
      </w:r>
    </w:p>
    <w:p w14:paraId="6ECA9E6E" w14:textId="77777777" w:rsidR="00424C27" w:rsidRDefault="00424C27" w:rsidP="00424C27"/>
    <w:p w14:paraId="262DA029" w14:textId="77777777" w:rsidR="00424C27" w:rsidRDefault="00424C27" w:rsidP="00424C27">
      <w:pPr>
        <w:widowControl w:val="0"/>
        <w:tabs>
          <w:tab w:val="left" w:pos="220"/>
          <w:tab w:val="left" w:pos="720"/>
        </w:tabs>
        <w:autoSpaceDE w:val="0"/>
        <w:autoSpaceDN w:val="0"/>
        <w:adjustRightInd w:val="0"/>
        <w:spacing w:after="0" w:line="360" w:lineRule="auto"/>
        <w:jc w:val="both"/>
        <w:rPr>
          <w:rFonts w:ascii="Arial" w:hAnsi="Arial" w:cs="Arial"/>
        </w:rPr>
      </w:pPr>
    </w:p>
    <w:p w14:paraId="229F4082" w14:textId="77777777" w:rsid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rPr>
      </w:pPr>
    </w:p>
    <w:p w14:paraId="527A6F3A" w14:textId="77777777" w:rsid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rPr>
      </w:pPr>
    </w:p>
    <w:p w14:paraId="3E09E028" w14:textId="77777777" w:rsid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rPr>
      </w:pPr>
    </w:p>
    <w:p w14:paraId="1BE94170" w14:textId="77777777" w:rsid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rPr>
      </w:pPr>
    </w:p>
    <w:p w14:paraId="5E803689" w14:textId="77777777" w:rsid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rPr>
      </w:pPr>
    </w:p>
    <w:p w14:paraId="77B8FF3B" w14:textId="0F2475FE" w:rsid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b/>
        </w:rPr>
      </w:pPr>
      <w:r w:rsidRPr="00BF6A27">
        <w:rPr>
          <w:rFonts w:ascii="Arial" w:hAnsi="Arial" w:cs="Arial"/>
          <w:b/>
        </w:rPr>
        <w:lastRenderedPageBreak/>
        <w:t>Tables:</w:t>
      </w:r>
    </w:p>
    <w:p w14:paraId="4F2BE3CC" w14:textId="77777777" w:rsid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b/>
        </w:rPr>
      </w:pPr>
    </w:p>
    <w:p w14:paraId="61CEF035" w14:textId="77777777" w:rsid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b/>
        </w:rPr>
      </w:pPr>
    </w:p>
    <w:p w14:paraId="5AE21F0F" w14:textId="77777777" w:rsid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b/>
        </w:rPr>
      </w:pPr>
    </w:p>
    <w:tbl>
      <w:tblPr>
        <w:tblW w:w="9168" w:type="dxa"/>
        <w:tblInd w:w="46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000" w:firstRow="0" w:lastRow="0" w:firstColumn="0" w:lastColumn="0" w:noHBand="0" w:noVBand="0"/>
      </w:tblPr>
      <w:tblGrid>
        <w:gridCol w:w="3357"/>
        <w:gridCol w:w="2292"/>
        <w:gridCol w:w="2116"/>
        <w:gridCol w:w="1403"/>
      </w:tblGrid>
      <w:tr w:rsidR="00BF6A27" w14:paraId="506AC739" w14:textId="77777777" w:rsidTr="00BC7A39">
        <w:trPr>
          <w:trHeight w:val="896"/>
        </w:trPr>
        <w:tc>
          <w:tcPr>
            <w:tcW w:w="3440" w:type="dxa"/>
          </w:tcPr>
          <w:p w14:paraId="2F402BBC" w14:textId="77777777" w:rsidR="00BF6A27" w:rsidRPr="00BA6E3B"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sidRPr="00BA6E3B">
              <w:rPr>
                <w:rFonts w:ascii="Arial" w:hAnsi="Arial" w:cs="Arial"/>
                <w:b/>
              </w:rPr>
              <w:t>Symptoms</w:t>
            </w:r>
          </w:p>
        </w:tc>
        <w:tc>
          <w:tcPr>
            <w:tcW w:w="2352" w:type="dxa"/>
          </w:tcPr>
          <w:p w14:paraId="4BDAA80F" w14:textId="77777777" w:rsidR="00BF6A27" w:rsidRPr="00BA6E3B"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sidRPr="00BA6E3B">
              <w:rPr>
                <w:rFonts w:ascii="Arial" w:hAnsi="Arial" w:cs="Arial"/>
                <w:b/>
              </w:rPr>
              <w:t>Number of patients</w:t>
            </w:r>
          </w:p>
          <w:p w14:paraId="1E6E1C58" w14:textId="77777777" w:rsidR="00BF6A27" w:rsidRPr="00BA6E3B"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sidRPr="00BA6E3B">
              <w:rPr>
                <w:rFonts w:ascii="Arial" w:hAnsi="Arial" w:cs="Arial"/>
                <w:b/>
              </w:rPr>
              <w:t>Before COMBO</w:t>
            </w:r>
          </w:p>
        </w:tc>
        <w:tc>
          <w:tcPr>
            <w:tcW w:w="2160" w:type="dxa"/>
          </w:tcPr>
          <w:p w14:paraId="01422E18" w14:textId="77777777" w:rsidR="00BF6A27" w:rsidRPr="00BA6E3B"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sidRPr="00BA6E3B">
              <w:rPr>
                <w:rFonts w:ascii="Arial" w:hAnsi="Arial" w:cs="Arial"/>
                <w:b/>
              </w:rPr>
              <w:t>Number of patients</w:t>
            </w:r>
            <w:r>
              <w:rPr>
                <w:rFonts w:ascii="Arial" w:hAnsi="Arial" w:cs="Arial"/>
                <w:b/>
              </w:rPr>
              <w:t xml:space="preserve"> showed full improved </w:t>
            </w:r>
          </w:p>
          <w:p w14:paraId="62EF0531" w14:textId="77777777" w:rsidR="00BF6A27" w:rsidRPr="00BA6E3B"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sidRPr="00BA6E3B">
              <w:rPr>
                <w:rFonts w:ascii="Arial" w:hAnsi="Arial" w:cs="Arial"/>
                <w:b/>
              </w:rPr>
              <w:t>After COMBO</w:t>
            </w:r>
          </w:p>
        </w:tc>
        <w:tc>
          <w:tcPr>
            <w:tcW w:w="1216" w:type="dxa"/>
          </w:tcPr>
          <w:p w14:paraId="06A704AB" w14:textId="77777777" w:rsidR="00BF6A27" w:rsidRPr="00BA6E3B" w:rsidRDefault="00BF6A27" w:rsidP="00BC7A39">
            <w:pPr>
              <w:widowControl w:val="0"/>
              <w:tabs>
                <w:tab w:val="left" w:pos="220"/>
                <w:tab w:val="left" w:pos="720"/>
              </w:tabs>
              <w:autoSpaceDE w:val="0"/>
              <w:autoSpaceDN w:val="0"/>
              <w:adjustRightInd w:val="0"/>
              <w:spacing w:after="0" w:line="240" w:lineRule="auto"/>
              <w:rPr>
                <w:rFonts w:ascii="Arial" w:hAnsi="Arial" w:cs="Arial"/>
                <w:b/>
              </w:rPr>
            </w:pPr>
            <w:r w:rsidRPr="00BA6E3B">
              <w:rPr>
                <w:rFonts w:ascii="Arial" w:hAnsi="Arial" w:cs="Arial"/>
                <w:b/>
              </w:rPr>
              <w:t>Percentage</w:t>
            </w:r>
          </w:p>
        </w:tc>
      </w:tr>
      <w:tr w:rsidR="00BF6A27" w14:paraId="53C9CB44" w14:textId="77777777" w:rsidTr="00BC7A39">
        <w:trPr>
          <w:trHeight w:val="1248"/>
        </w:trPr>
        <w:tc>
          <w:tcPr>
            <w:tcW w:w="3440" w:type="dxa"/>
          </w:tcPr>
          <w:p w14:paraId="2B69AAE7" w14:textId="77777777" w:rsidR="00BF6A27" w:rsidRPr="00262C04"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sidRPr="00262C04">
              <w:rPr>
                <w:rFonts w:ascii="Arial" w:hAnsi="Arial" w:cs="Arial"/>
              </w:rPr>
              <w:t>Dysphagia</w:t>
            </w:r>
          </w:p>
        </w:tc>
        <w:tc>
          <w:tcPr>
            <w:tcW w:w="2352" w:type="dxa"/>
          </w:tcPr>
          <w:p w14:paraId="0FCE278D"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44</w:t>
            </w:r>
          </w:p>
        </w:tc>
        <w:tc>
          <w:tcPr>
            <w:tcW w:w="2160" w:type="dxa"/>
          </w:tcPr>
          <w:p w14:paraId="72D01892"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36</w:t>
            </w:r>
          </w:p>
        </w:tc>
        <w:tc>
          <w:tcPr>
            <w:tcW w:w="1216" w:type="dxa"/>
          </w:tcPr>
          <w:p w14:paraId="344B9CC4"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81.8%</w:t>
            </w:r>
          </w:p>
        </w:tc>
      </w:tr>
      <w:tr w:rsidR="00BF6A27" w14:paraId="50CF9643" w14:textId="77777777" w:rsidTr="00BC7A39">
        <w:trPr>
          <w:trHeight w:val="1424"/>
        </w:trPr>
        <w:tc>
          <w:tcPr>
            <w:tcW w:w="3440" w:type="dxa"/>
          </w:tcPr>
          <w:p w14:paraId="7F87D527" w14:textId="77777777" w:rsidR="00BF6A27" w:rsidRPr="00262C04"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sidRPr="00262C04">
              <w:rPr>
                <w:rFonts w:ascii="Arial" w:hAnsi="Arial" w:cs="Arial"/>
              </w:rPr>
              <w:t>Choking sensation</w:t>
            </w:r>
          </w:p>
        </w:tc>
        <w:tc>
          <w:tcPr>
            <w:tcW w:w="2352" w:type="dxa"/>
          </w:tcPr>
          <w:p w14:paraId="19093720"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41</w:t>
            </w:r>
          </w:p>
        </w:tc>
        <w:tc>
          <w:tcPr>
            <w:tcW w:w="2160" w:type="dxa"/>
          </w:tcPr>
          <w:p w14:paraId="11948724"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41</w:t>
            </w:r>
          </w:p>
        </w:tc>
        <w:tc>
          <w:tcPr>
            <w:tcW w:w="1216" w:type="dxa"/>
          </w:tcPr>
          <w:p w14:paraId="0A11329E"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100%</w:t>
            </w:r>
          </w:p>
        </w:tc>
      </w:tr>
      <w:tr w:rsidR="00BF6A27" w14:paraId="5873C03B" w14:textId="77777777" w:rsidTr="00BC7A39">
        <w:trPr>
          <w:trHeight w:val="1600"/>
        </w:trPr>
        <w:tc>
          <w:tcPr>
            <w:tcW w:w="3440" w:type="dxa"/>
          </w:tcPr>
          <w:p w14:paraId="46C47164" w14:textId="77777777" w:rsidR="00BF6A27" w:rsidRPr="00262C04"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sidRPr="00262C04">
              <w:rPr>
                <w:rFonts w:ascii="Arial" w:hAnsi="Arial" w:cs="Arial"/>
              </w:rPr>
              <w:t>Regurgitations &amp; heart burn</w:t>
            </w:r>
          </w:p>
        </w:tc>
        <w:tc>
          <w:tcPr>
            <w:tcW w:w="2352" w:type="dxa"/>
          </w:tcPr>
          <w:p w14:paraId="793ED620"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44</w:t>
            </w:r>
          </w:p>
        </w:tc>
        <w:tc>
          <w:tcPr>
            <w:tcW w:w="2160" w:type="dxa"/>
          </w:tcPr>
          <w:p w14:paraId="7AA990CB"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32</w:t>
            </w:r>
          </w:p>
        </w:tc>
        <w:tc>
          <w:tcPr>
            <w:tcW w:w="1216" w:type="dxa"/>
          </w:tcPr>
          <w:p w14:paraId="5624AFA9"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72.7%</w:t>
            </w:r>
          </w:p>
        </w:tc>
      </w:tr>
      <w:tr w:rsidR="00BF6A27" w14:paraId="14BF6672" w14:textId="77777777" w:rsidTr="00BC7A39">
        <w:trPr>
          <w:trHeight w:val="896"/>
        </w:trPr>
        <w:tc>
          <w:tcPr>
            <w:tcW w:w="3440" w:type="dxa"/>
          </w:tcPr>
          <w:p w14:paraId="6BA28F77" w14:textId="77777777" w:rsidR="00BF6A27" w:rsidRPr="00262C04"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sidRPr="00262C04">
              <w:rPr>
                <w:rFonts w:ascii="Arial" w:hAnsi="Arial" w:cs="Arial"/>
              </w:rPr>
              <w:t>Postprandial vomiting</w:t>
            </w:r>
          </w:p>
        </w:tc>
        <w:tc>
          <w:tcPr>
            <w:tcW w:w="2352" w:type="dxa"/>
          </w:tcPr>
          <w:p w14:paraId="5666C7FB"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44</w:t>
            </w:r>
          </w:p>
        </w:tc>
        <w:tc>
          <w:tcPr>
            <w:tcW w:w="2160" w:type="dxa"/>
          </w:tcPr>
          <w:p w14:paraId="4012DCD9"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44</w:t>
            </w:r>
          </w:p>
        </w:tc>
        <w:tc>
          <w:tcPr>
            <w:tcW w:w="1216" w:type="dxa"/>
          </w:tcPr>
          <w:p w14:paraId="2EAF438E"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100%</w:t>
            </w:r>
          </w:p>
        </w:tc>
      </w:tr>
      <w:tr w:rsidR="00BF6A27" w14:paraId="5645C45E" w14:textId="77777777" w:rsidTr="00BC7A39">
        <w:trPr>
          <w:trHeight w:val="898"/>
        </w:trPr>
        <w:tc>
          <w:tcPr>
            <w:tcW w:w="3440" w:type="dxa"/>
          </w:tcPr>
          <w:p w14:paraId="0DC9DE50" w14:textId="77777777" w:rsidR="00BF6A27" w:rsidRPr="00262C04"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 xml:space="preserve">Loss of weight </w:t>
            </w:r>
          </w:p>
        </w:tc>
        <w:tc>
          <w:tcPr>
            <w:tcW w:w="2352" w:type="dxa"/>
          </w:tcPr>
          <w:p w14:paraId="14624DB3"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44</w:t>
            </w:r>
          </w:p>
        </w:tc>
        <w:tc>
          <w:tcPr>
            <w:tcW w:w="2160" w:type="dxa"/>
          </w:tcPr>
          <w:p w14:paraId="1A4B8D11"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44</w:t>
            </w:r>
          </w:p>
        </w:tc>
        <w:tc>
          <w:tcPr>
            <w:tcW w:w="1216" w:type="dxa"/>
          </w:tcPr>
          <w:p w14:paraId="5F6F9220"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rPr>
            </w:pPr>
            <w:r>
              <w:rPr>
                <w:rFonts w:ascii="Arial" w:hAnsi="Arial" w:cs="Arial"/>
              </w:rPr>
              <w:t>100%</w:t>
            </w:r>
          </w:p>
        </w:tc>
      </w:tr>
    </w:tbl>
    <w:p w14:paraId="4D8B35D2" w14:textId="77777777" w:rsidR="00BF6A27" w:rsidRDefault="00BF6A27" w:rsidP="00BF6A27">
      <w:pPr>
        <w:widowControl w:val="0"/>
        <w:tabs>
          <w:tab w:val="left" w:pos="220"/>
          <w:tab w:val="left" w:pos="720"/>
        </w:tabs>
        <w:autoSpaceDE w:val="0"/>
        <w:autoSpaceDN w:val="0"/>
        <w:adjustRightInd w:val="0"/>
        <w:spacing w:after="0" w:line="240" w:lineRule="auto"/>
        <w:rPr>
          <w:rFonts w:ascii="Arial" w:hAnsi="Arial" w:cs="Arial"/>
        </w:rPr>
      </w:pPr>
    </w:p>
    <w:p w14:paraId="709C93CD" w14:textId="77777777" w:rsidR="00BF6A27" w:rsidRP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rPr>
      </w:pPr>
      <w:r w:rsidRPr="00262C04">
        <w:rPr>
          <w:rFonts w:ascii="Arial" w:hAnsi="Arial" w:cs="Arial"/>
          <w:b/>
        </w:rPr>
        <w:t xml:space="preserve">Table A: </w:t>
      </w:r>
      <w:r w:rsidRPr="00BF6A27">
        <w:rPr>
          <w:rFonts w:ascii="Arial" w:hAnsi="Arial" w:cs="Arial"/>
        </w:rPr>
        <w:t>showing the number and percentage of the patients treated by COMBO technique before and after the procedure</w:t>
      </w:r>
    </w:p>
    <w:p w14:paraId="41DF097F"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247C27E0"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4A1294F1"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45E8AFDA"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0AAF10EB"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7928CF39"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2DA2C554"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5878F8A9"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33E860BC"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74D3D101"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7D0602DA"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6AA8702F"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5AE4B92D"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13A0E817"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1EF46DAF"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tbl>
      <w:tblPr>
        <w:tblW w:w="0" w:type="auto"/>
        <w:tblInd w:w="82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1632"/>
        <w:gridCol w:w="1984"/>
        <w:gridCol w:w="1984"/>
        <w:gridCol w:w="2688"/>
      </w:tblGrid>
      <w:tr w:rsidR="00BF6A27" w14:paraId="206E51BD" w14:textId="77777777" w:rsidTr="00BC7A39">
        <w:trPr>
          <w:trHeight w:val="848"/>
        </w:trPr>
        <w:tc>
          <w:tcPr>
            <w:tcW w:w="1632" w:type="dxa"/>
          </w:tcPr>
          <w:p w14:paraId="22209650"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 xml:space="preserve">Variable </w:t>
            </w:r>
          </w:p>
        </w:tc>
        <w:tc>
          <w:tcPr>
            <w:tcW w:w="1984" w:type="dxa"/>
          </w:tcPr>
          <w:p w14:paraId="57333654"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Range</w:t>
            </w:r>
          </w:p>
        </w:tc>
        <w:tc>
          <w:tcPr>
            <w:tcW w:w="1984" w:type="dxa"/>
          </w:tcPr>
          <w:p w14:paraId="62B8285A"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Mean</w:t>
            </w:r>
          </w:p>
        </w:tc>
        <w:tc>
          <w:tcPr>
            <w:tcW w:w="2688" w:type="dxa"/>
          </w:tcPr>
          <w:p w14:paraId="4DF0FDDB"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Standard Deviation</w:t>
            </w:r>
          </w:p>
          <w:p w14:paraId="31478962"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SD</w:t>
            </w:r>
          </w:p>
        </w:tc>
      </w:tr>
      <w:tr w:rsidR="00BF6A27" w14:paraId="58770F80" w14:textId="77777777" w:rsidTr="00BC7A39">
        <w:trPr>
          <w:trHeight w:val="768"/>
        </w:trPr>
        <w:tc>
          <w:tcPr>
            <w:tcW w:w="1632" w:type="dxa"/>
          </w:tcPr>
          <w:p w14:paraId="43429108"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Age</w:t>
            </w:r>
          </w:p>
        </w:tc>
        <w:tc>
          <w:tcPr>
            <w:tcW w:w="1984" w:type="dxa"/>
          </w:tcPr>
          <w:p w14:paraId="6BC2C3C9"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16-81</w:t>
            </w:r>
          </w:p>
        </w:tc>
        <w:tc>
          <w:tcPr>
            <w:tcW w:w="1984" w:type="dxa"/>
          </w:tcPr>
          <w:p w14:paraId="29DDD4BB"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48.5</w:t>
            </w:r>
          </w:p>
        </w:tc>
        <w:tc>
          <w:tcPr>
            <w:tcW w:w="2688" w:type="dxa"/>
          </w:tcPr>
          <w:p w14:paraId="3E36D430"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45.9</w:t>
            </w:r>
          </w:p>
        </w:tc>
      </w:tr>
      <w:tr w:rsidR="00BF6A27" w14:paraId="00FE76A6" w14:textId="77777777" w:rsidTr="00BC7A39">
        <w:trPr>
          <w:trHeight w:val="596"/>
        </w:trPr>
        <w:tc>
          <w:tcPr>
            <w:tcW w:w="1632" w:type="dxa"/>
          </w:tcPr>
          <w:p w14:paraId="6A9A8813"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Sex</w:t>
            </w:r>
          </w:p>
        </w:tc>
        <w:tc>
          <w:tcPr>
            <w:tcW w:w="1984" w:type="dxa"/>
          </w:tcPr>
          <w:p w14:paraId="4563344B"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39 male</w:t>
            </w:r>
          </w:p>
          <w:p w14:paraId="09D9F099"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5 female</w:t>
            </w:r>
          </w:p>
        </w:tc>
        <w:tc>
          <w:tcPr>
            <w:tcW w:w="1984" w:type="dxa"/>
          </w:tcPr>
          <w:p w14:paraId="08EFDEC6"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22</w:t>
            </w:r>
          </w:p>
        </w:tc>
        <w:tc>
          <w:tcPr>
            <w:tcW w:w="2688" w:type="dxa"/>
          </w:tcPr>
          <w:p w14:paraId="75420674"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17</w:t>
            </w:r>
          </w:p>
        </w:tc>
      </w:tr>
      <w:tr w:rsidR="00BF6A27" w14:paraId="15E9DAD7" w14:textId="77777777" w:rsidTr="00BC7A39">
        <w:trPr>
          <w:trHeight w:val="710"/>
        </w:trPr>
        <w:tc>
          <w:tcPr>
            <w:tcW w:w="1632" w:type="dxa"/>
          </w:tcPr>
          <w:p w14:paraId="3D1A5E00"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Follow up period</w:t>
            </w:r>
          </w:p>
        </w:tc>
        <w:tc>
          <w:tcPr>
            <w:tcW w:w="1984" w:type="dxa"/>
          </w:tcPr>
          <w:p w14:paraId="3794F979"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240weeks-48weeks</w:t>
            </w:r>
          </w:p>
        </w:tc>
        <w:tc>
          <w:tcPr>
            <w:tcW w:w="1984" w:type="dxa"/>
          </w:tcPr>
          <w:p w14:paraId="6933633B"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144</w:t>
            </w:r>
          </w:p>
        </w:tc>
        <w:tc>
          <w:tcPr>
            <w:tcW w:w="2688" w:type="dxa"/>
          </w:tcPr>
          <w:p w14:paraId="7372CB30" w14:textId="77777777" w:rsidR="00BF6A27" w:rsidRDefault="00BF6A27" w:rsidP="00BC7A39">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135.7</w:t>
            </w:r>
          </w:p>
        </w:tc>
      </w:tr>
    </w:tbl>
    <w:p w14:paraId="477D1AE2" w14:textId="77777777" w:rsidR="00BF6A27"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p>
    <w:p w14:paraId="257D3375" w14:textId="77777777" w:rsidR="00BF6A27" w:rsidRPr="00262C04" w:rsidRDefault="00BF6A27" w:rsidP="00BF6A27">
      <w:pPr>
        <w:widowControl w:val="0"/>
        <w:tabs>
          <w:tab w:val="left" w:pos="220"/>
          <w:tab w:val="left" w:pos="720"/>
        </w:tabs>
        <w:autoSpaceDE w:val="0"/>
        <w:autoSpaceDN w:val="0"/>
        <w:adjustRightInd w:val="0"/>
        <w:spacing w:after="0" w:line="240" w:lineRule="auto"/>
        <w:jc w:val="center"/>
        <w:rPr>
          <w:rFonts w:ascii="Arial" w:hAnsi="Arial" w:cs="Arial"/>
          <w:b/>
        </w:rPr>
      </w:pPr>
      <w:r>
        <w:rPr>
          <w:rFonts w:ascii="Arial" w:hAnsi="Arial" w:cs="Arial"/>
          <w:b/>
        </w:rPr>
        <w:t xml:space="preserve">Table B: </w:t>
      </w:r>
      <w:r w:rsidRPr="00BF6A27">
        <w:rPr>
          <w:rFonts w:ascii="Arial" w:hAnsi="Arial" w:cs="Arial"/>
        </w:rPr>
        <w:t>showed the demographic pattern and follow up period of the studied group as regards Age, Sex and follow up period of the study</w:t>
      </w:r>
    </w:p>
    <w:p w14:paraId="04CF58FC" w14:textId="77777777" w:rsidR="00BF6A27" w:rsidRPr="00BF6A27" w:rsidRDefault="00BF6A27" w:rsidP="00424C27">
      <w:pPr>
        <w:widowControl w:val="0"/>
        <w:tabs>
          <w:tab w:val="left" w:pos="220"/>
          <w:tab w:val="left" w:pos="720"/>
        </w:tabs>
        <w:autoSpaceDE w:val="0"/>
        <w:autoSpaceDN w:val="0"/>
        <w:adjustRightInd w:val="0"/>
        <w:spacing w:after="0" w:line="360" w:lineRule="auto"/>
        <w:jc w:val="both"/>
        <w:rPr>
          <w:rFonts w:ascii="Arial" w:hAnsi="Arial" w:cs="Arial"/>
          <w:b/>
        </w:rPr>
      </w:pPr>
    </w:p>
    <w:sectPr w:rsidR="00BF6A27" w:rsidRPr="00BF6A27" w:rsidSect="00F553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23033" w14:textId="77777777" w:rsidR="00BC108A" w:rsidRDefault="00BC108A" w:rsidP="00BD796B">
      <w:pPr>
        <w:spacing w:after="0" w:line="240" w:lineRule="auto"/>
      </w:pPr>
      <w:r>
        <w:separator/>
      </w:r>
    </w:p>
  </w:endnote>
  <w:endnote w:type="continuationSeparator" w:id="0">
    <w:p w14:paraId="6BB51C86" w14:textId="77777777" w:rsidR="00BC108A" w:rsidRDefault="00BC108A" w:rsidP="00BD7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ED5200" w14:textId="77777777" w:rsidR="00BC108A" w:rsidRDefault="00BC108A" w:rsidP="00BD796B">
      <w:pPr>
        <w:spacing w:after="0" w:line="240" w:lineRule="auto"/>
      </w:pPr>
      <w:r>
        <w:separator/>
      </w:r>
    </w:p>
  </w:footnote>
  <w:footnote w:type="continuationSeparator" w:id="0">
    <w:p w14:paraId="0EEAE371" w14:textId="77777777" w:rsidR="00BC108A" w:rsidRDefault="00BC108A" w:rsidP="00BD79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1926C48"/>
    <w:multiLevelType w:val="hybridMultilevel"/>
    <w:tmpl w:val="9FBEC27C"/>
    <w:lvl w:ilvl="0" w:tplc="24D8E6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772EEB"/>
    <w:multiLevelType w:val="hybridMultilevel"/>
    <w:tmpl w:val="EEEA1E44"/>
    <w:lvl w:ilvl="0" w:tplc="96BE5F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1302F4"/>
    <w:multiLevelType w:val="hybridMultilevel"/>
    <w:tmpl w:val="0478A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604"/>
    <w:rsid w:val="0002270A"/>
    <w:rsid w:val="000439D2"/>
    <w:rsid w:val="00050323"/>
    <w:rsid w:val="000B419F"/>
    <w:rsid w:val="000D6010"/>
    <w:rsid w:val="0010170D"/>
    <w:rsid w:val="001025D1"/>
    <w:rsid w:val="00152672"/>
    <w:rsid w:val="0016754F"/>
    <w:rsid w:val="001B06FE"/>
    <w:rsid w:val="001D5F21"/>
    <w:rsid w:val="0020116A"/>
    <w:rsid w:val="00204CB1"/>
    <w:rsid w:val="00273E2C"/>
    <w:rsid w:val="00274E88"/>
    <w:rsid w:val="002D4B4C"/>
    <w:rsid w:val="00350CC4"/>
    <w:rsid w:val="00356EC2"/>
    <w:rsid w:val="003703EB"/>
    <w:rsid w:val="003A223B"/>
    <w:rsid w:val="003B043F"/>
    <w:rsid w:val="003C2821"/>
    <w:rsid w:val="003C731D"/>
    <w:rsid w:val="00424C27"/>
    <w:rsid w:val="00465BD1"/>
    <w:rsid w:val="00487604"/>
    <w:rsid w:val="004B2E09"/>
    <w:rsid w:val="00506CF3"/>
    <w:rsid w:val="00513FA6"/>
    <w:rsid w:val="005575DB"/>
    <w:rsid w:val="00572EDC"/>
    <w:rsid w:val="0057354A"/>
    <w:rsid w:val="00582552"/>
    <w:rsid w:val="005B4DAD"/>
    <w:rsid w:val="005C7EFB"/>
    <w:rsid w:val="005E7109"/>
    <w:rsid w:val="00610652"/>
    <w:rsid w:val="006112DC"/>
    <w:rsid w:val="0062206B"/>
    <w:rsid w:val="00673561"/>
    <w:rsid w:val="006E4755"/>
    <w:rsid w:val="006F5F64"/>
    <w:rsid w:val="007428FC"/>
    <w:rsid w:val="007500B1"/>
    <w:rsid w:val="00752287"/>
    <w:rsid w:val="00752D08"/>
    <w:rsid w:val="007A1DC3"/>
    <w:rsid w:val="007A3960"/>
    <w:rsid w:val="007D606C"/>
    <w:rsid w:val="007F08A4"/>
    <w:rsid w:val="007F28FA"/>
    <w:rsid w:val="008C0AFF"/>
    <w:rsid w:val="0091715D"/>
    <w:rsid w:val="009327BF"/>
    <w:rsid w:val="00934565"/>
    <w:rsid w:val="0096136D"/>
    <w:rsid w:val="00987C49"/>
    <w:rsid w:val="00995EA0"/>
    <w:rsid w:val="009A2EC7"/>
    <w:rsid w:val="009E3F2C"/>
    <w:rsid w:val="00A01232"/>
    <w:rsid w:val="00A216A3"/>
    <w:rsid w:val="00A338AC"/>
    <w:rsid w:val="00A97CAD"/>
    <w:rsid w:val="00AC4E2B"/>
    <w:rsid w:val="00AD70A6"/>
    <w:rsid w:val="00AF4755"/>
    <w:rsid w:val="00B01F78"/>
    <w:rsid w:val="00B04C3C"/>
    <w:rsid w:val="00B2333D"/>
    <w:rsid w:val="00B437ED"/>
    <w:rsid w:val="00B74F7F"/>
    <w:rsid w:val="00BB562A"/>
    <w:rsid w:val="00BC108A"/>
    <w:rsid w:val="00BC7852"/>
    <w:rsid w:val="00BD796B"/>
    <w:rsid w:val="00BE5F50"/>
    <w:rsid w:val="00BF6A27"/>
    <w:rsid w:val="00C07115"/>
    <w:rsid w:val="00C64E5D"/>
    <w:rsid w:val="00CA5AE8"/>
    <w:rsid w:val="00CB26CF"/>
    <w:rsid w:val="00CB6C80"/>
    <w:rsid w:val="00CE5C10"/>
    <w:rsid w:val="00CF701F"/>
    <w:rsid w:val="00D22F3F"/>
    <w:rsid w:val="00D63E6C"/>
    <w:rsid w:val="00E20CC9"/>
    <w:rsid w:val="00E24026"/>
    <w:rsid w:val="00E5698A"/>
    <w:rsid w:val="00E710AB"/>
    <w:rsid w:val="00E77B57"/>
    <w:rsid w:val="00EE2886"/>
    <w:rsid w:val="00F0553A"/>
    <w:rsid w:val="00F5534B"/>
    <w:rsid w:val="00F80897"/>
    <w:rsid w:val="00F95148"/>
    <w:rsid w:val="00F97BE4"/>
    <w:rsid w:val="00FB26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6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34B"/>
  </w:style>
  <w:style w:type="paragraph" w:styleId="Heading1">
    <w:name w:val="heading 1"/>
    <w:basedOn w:val="Normal"/>
    <w:next w:val="Normal"/>
    <w:link w:val="Heading1Char"/>
    <w:uiPriority w:val="9"/>
    <w:qFormat/>
    <w:rsid w:val="00350CC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0A6"/>
    <w:pPr>
      <w:ind w:left="720"/>
      <w:contextualSpacing/>
    </w:pPr>
  </w:style>
  <w:style w:type="paragraph" w:styleId="FootnoteText">
    <w:name w:val="footnote text"/>
    <w:basedOn w:val="Normal"/>
    <w:link w:val="FootnoteTextChar"/>
    <w:uiPriority w:val="99"/>
    <w:unhideWhenUsed/>
    <w:rsid w:val="00BD796B"/>
    <w:pPr>
      <w:spacing w:after="0" w:line="240" w:lineRule="auto"/>
    </w:pPr>
    <w:rPr>
      <w:sz w:val="24"/>
      <w:szCs w:val="24"/>
    </w:rPr>
  </w:style>
  <w:style w:type="character" w:customStyle="1" w:styleId="FootnoteTextChar">
    <w:name w:val="Footnote Text Char"/>
    <w:basedOn w:val="DefaultParagraphFont"/>
    <w:link w:val="FootnoteText"/>
    <w:uiPriority w:val="99"/>
    <w:rsid w:val="00BD796B"/>
    <w:rPr>
      <w:sz w:val="24"/>
      <w:szCs w:val="24"/>
    </w:rPr>
  </w:style>
  <w:style w:type="character" w:styleId="FootnoteReference">
    <w:name w:val="footnote reference"/>
    <w:basedOn w:val="DefaultParagraphFont"/>
    <w:uiPriority w:val="99"/>
    <w:unhideWhenUsed/>
    <w:rsid w:val="00BD796B"/>
    <w:rPr>
      <w:vertAlign w:val="superscript"/>
    </w:rPr>
  </w:style>
  <w:style w:type="paragraph" w:styleId="BalloonText">
    <w:name w:val="Balloon Text"/>
    <w:basedOn w:val="Normal"/>
    <w:link w:val="BalloonTextChar"/>
    <w:uiPriority w:val="99"/>
    <w:semiHidden/>
    <w:unhideWhenUsed/>
    <w:rsid w:val="0010170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170D"/>
    <w:rPr>
      <w:rFonts w:ascii="Lucida Grande" w:hAnsi="Lucida Grande" w:cs="Lucida Grande"/>
      <w:sz w:val="18"/>
      <w:szCs w:val="18"/>
    </w:rPr>
  </w:style>
  <w:style w:type="paragraph" w:styleId="NormalWeb">
    <w:name w:val="Normal (Web)"/>
    <w:basedOn w:val="Normal"/>
    <w:uiPriority w:val="99"/>
    <w:semiHidden/>
    <w:unhideWhenUsed/>
    <w:rsid w:val="00C64E5D"/>
    <w:pPr>
      <w:spacing w:before="100" w:beforeAutospacing="1" w:after="100" w:afterAutospacing="1" w:line="240" w:lineRule="auto"/>
    </w:pPr>
    <w:rPr>
      <w:rFonts w:ascii="Times" w:hAnsi="Times" w:cs="Times New Roman"/>
      <w:sz w:val="20"/>
      <w:szCs w:val="20"/>
      <w:lang w:val="en-GB"/>
    </w:rPr>
  </w:style>
  <w:style w:type="character" w:styleId="Hyperlink">
    <w:name w:val="Hyperlink"/>
    <w:basedOn w:val="DefaultParagraphFont"/>
    <w:uiPriority w:val="99"/>
    <w:unhideWhenUsed/>
    <w:rsid w:val="000439D2"/>
    <w:rPr>
      <w:color w:val="0000FF" w:themeColor="hyperlink"/>
      <w:u w:val="single"/>
    </w:rPr>
  </w:style>
  <w:style w:type="character" w:customStyle="1" w:styleId="Heading1Char">
    <w:name w:val="Heading 1 Char"/>
    <w:basedOn w:val="DefaultParagraphFont"/>
    <w:link w:val="Heading1"/>
    <w:uiPriority w:val="9"/>
    <w:rsid w:val="00350CC4"/>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34B"/>
  </w:style>
  <w:style w:type="paragraph" w:styleId="Heading1">
    <w:name w:val="heading 1"/>
    <w:basedOn w:val="Normal"/>
    <w:next w:val="Normal"/>
    <w:link w:val="Heading1Char"/>
    <w:uiPriority w:val="9"/>
    <w:qFormat/>
    <w:rsid w:val="00350CC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0A6"/>
    <w:pPr>
      <w:ind w:left="720"/>
      <w:contextualSpacing/>
    </w:pPr>
  </w:style>
  <w:style w:type="paragraph" w:styleId="FootnoteText">
    <w:name w:val="footnote text"/>
    <w:basedOn w:val="Normal"/>
    <w:link w:val="FootnoteTextChar"/>
    <w:uiPriority w:val="99"/>
    <w:unhideWhenUsed/>
    <w:rsid w:val="00BD796B"/>
    <w:pPr>
      <w:spacing w:after="0" w:line="240" w:lineRule="auto"/>
    </w:pPr>
    <w:rPr>
      <w:sz w:val="24"/>
      <w:szCs w:val="24"/>
    </w:rPr>
  </w:style>
  <w:style w:type="character" w:customStyle="1" w:styleId="FootnoteTextChar">
    <w:name w:val="Footnote Text Char"/>
    <w:basedOn w:val="DefaultParagraphFont"/>
    <w:link w:val="FootnoteText"/>
    <w:uiPriority w:val="99"/>
    <w:rsid w:val="00BD796B"/>
    <w:rPr>
      <w:sz w:val="24"/>
      <w:szCs w:val="24"/>
    </w:rPr>
  </w:style>
  <w:style w:type="character" w:styleId="FootnoteReference">
    <w:name w:val="footnote reference"/>
    <w:basedOn w:val="DefaultParagraphFont"/>
    <w:uiPriority w:val="99"/>
    <w:unhideWhenUsed/>
    <w:rsid w:val="00BD796B"/>
    <w:rPr>
      <w:vertAlign w:val="superscript"/>
    </w:rPr>
  </w:style>
  <w:style w:type="paragraph" w:styleId="BalloonText">
    <w:name w:val="Balloon Text"/>
    <w:basedOn w:val="Normal"/>
    <w:link w:val="BalloonTextChar"/>
    <w:uiPriority w:val="99"/>
    <w:semiHidden/>
    <w:unhideWhenUsed/>
    <w:rsid w:val="0010170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170D"/>
    <w:rPr>
      <w:rFonts w:ascii="Lucida Grande" w:hAnsi="Lucida Grande" w:cs="Lucida Grande"/>
      <w:sz w:val="18"/>
      <w:szCs w:val="18"/>
    </w:rPr>
  </w:style>
  <w:style w:type="paragraph" w:styleId="NormalWeb">
    <w:name w:val="Normal (Web)"/>
    <w:basedOn w:val="Normal"/>
    <w:uiPriority w:val="99"/>
    <w:semiHidden/>
    <w:unhideWhenUsed/>
    <w:rsid w:val="00C64E5D"/>
    <w:pPr>
      <w:spacing w:before="100" w:beforeAutospacing="1" w:after="100" w:afterAutospacing="1" w:line="240" w:lineRule="auto"/>
    </w:pPr>
    <w:rPr>
      <w:rFonts w:ascii="Times" w:hAnsi="Times" w:cs="Times New Roman"/>
      <w:sz w:val="20"/>
      <w:szCs w:val="20"/>
      <w:lang w:val="en-GB"/>
    </w:rPr>
  </w:style>
  <w:style w:type="character" w:styleId="Hyperlink">
    <w:name w:val="Hyperlink"/>
    <w:basedOn w:val="DefaultParagraphFont"/>
    <w:uiPriority w:val="99"/>
    <w:unhideWhenUsed/>
    <w:rsid w:val="000439D2"/>
    <w:rPr>
      <w:color w:val="0000FF" w:themeColor="hyperlink"/>
      <w:u w:val="single"/>
    </w:rPr>
  </w:style>
  <w:style w:type="character" w:customStyle="1" w:styleId="Heading1Char">
    <w:name w:val="Heading 1 Char"/>
    <w:basedOn w:val="DefaultParagraphFont"/>
    <w:link w:val="Heading1"/>
    <w:uiPriority w:val="9"/>
    <w:rsid w:val="00350CC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692300">
      <w:bodyDiv w:val="1"/>
      <w:marLeft w:val="0"/>
      <w:marRight w:val="0"/>
      <w:marTop w:val="0"/>
      <w:marBottom w:val="0"/>
      <w:divBdr>
        <w:top w:val="none" w:sz="0" w:space="0" w:color="auto"/>
        <w:left w:val="none" w:sz="0" w:space="0" w:color="auto"/>
        <w:bottom w:val="none" w:sz="0" w:space="0" w:color="auto"/>
        <w:right w:val="none" w:sz="0" w:space="0" w:color="auto"/>
      </w:divBdr>
    </w:div>
    <w:div w:id="1407605463">
      <w:bodyDiv w:val="1"/>
      <w:marLeft w:val="0"/>
      <w:marRight w:val="0"/>
      <w:marTop w:val="0"/>
      <w:marBottom w:val="0"/>
      <w:divBdr>
        <w:top w:val="none" w:sz="0" w:space="0" w:color="auto"/>
        <w:left w:val="none" w:sz="0" w:space="0" w:color="auto"/>
        <w:bottom w:val="none" w:sz="0" w:space="0" w:color="auto"/>
        <w:right w:val="none" w:sz="0" w:space="0" w:color="auto"/>
      </w:divBdr>
      <w:divsChild>
        <w:div w:id="1885022937">
          <w:marLeft w:val="0"/>
          <w:marRight w:val="0"/>
          <w:marTop w:val="0"/>
          <w:marBottom w:val="0"/>
          <w:divBdr>
            <w:top w:val="none" w:sz="0" w:space="0" w:color="auto"/>
            <w:left w:val="none" w:sz="0" w:space="0" w:color="auto"/>
            <w:bottom w:val="none" w:sz="0" w:space="0" w:color="auto"/>
            <w:right w:val="none" w:sz="0" w:space="0" w:color="auto"/>
          </w:divBdr>
          <w:divsChild>
            <w:div w:id="1266763283">
              <w:marLeft w:val="0"/>
              <w:marRight w:val="0"/>
              <w:marTop w:val="0"/>
              <w:marBottom w:val="0"/>
              <w:divBdr>
                <w:top w:val="none" w:sz="0" w:space="0" w:color="auto"/>
                <w:left w:val="none" w:sz="0" w:space="0" w:color="auto"/>
                <w:bottom w:val="none" w:sz="0" w:space="0" w:color="auto"/>
                <w:right w:val="none" w:sz="0" w:space="0" w:color="auto"/>
              </w:divBdr>
              <w:divsChild>
                <w:div w:id="5295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24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sambedewy75@gmail.com" TargetMode="External"/><Relationship Id="rId13" Type="http://schemas.openxmlformats.org/officeDocument/2006/relationships/hyperlink" Target="https://www.ncbi.nlm.nih.gov/pubmed/?term=Lappas%20BM%5BAuthor%5D&amp;cauthor=true&amp;cauthor_uid=28867969" TargetMode="External"/><Relationship Id="rId18" Type="http://schemas.openxmlformats.org/officeDocument/2006/relationships/hyperlink" Target="https://www.ncbi.nlm.nih.gov/pubmed/?term=Tantau%20M%5BAuthor%5D&amp;cauthor=true&amp;cauthor_uid=25789094" TargetMode="External"/><Relationship Id="rId26" Type="http://schemas.openxmlformats.org/officeDocument/2006/relationships/image" Target="media/image5.jpg"/><Relationship Id="rId3" Type="http://schemas.microsoft.com/office/2007/relationships/stylesWithEffects" Target="stylesWithEffects.xml"/><Relationship Id="rId21" Type="http://schemas.openxmlformats.org/officeDocument/2006/relationships/hyperlink" Target="https://www.researchgate.net/journal/1442-2050_Diseases_of_the_Esophagus" TargetMode="External"/><Relationship Id="rId7" Type="http://schemas.openxmlformats.org/officeDocument/2006/relationships/endnotes" Target="endnotes.xml"/><Relationship Id="rId12" Type="http://schemas.openxmlformats.org/officeDocument/2006/relationships/hyperlink" Target="https://www.ncbi.nlm.nih.gov/pubmed/?term=Patel%20DA%5BAuthor%5D&amp;cauthor=true&amp;cauthor_uid=28867969" TargetMode="External"/><Relationship Id="rId17" Type="http://schemas.openxmlformats.org/officeDocument/2006/relationships/hyperlink" Target="https://www.ncbi.nlm.nih.gov/pmc/articles/PMC4509143/" TargetMode="External"/><Relationship Id="rId25" Type="http://schemas.openxmlformats.org/officeDocument/2006/relationships/image" Target="media/image4.jpg"/><Relationship Id="rId2" Type="http://schemas.openxmlformats.org/officeDocument/2006/relationships/styles" Target="styles.xml"/><Relationship Id="rId16" Type="http://schemas.openxmlformats.org/officeDocument/2006/relationships/hyperlink" Target="https://www.ncbi.nlm.nih.gov/pubmed/?term=Kim%20HP%5BAuthor%5D&amp;cauthor=true&amp;cauthor_uid=26198208" TargetMode="External"/><Relationship Id="rId20" Type="http://schemas.openxmlformats.org/officeDocument/2006/relationships/hyperlink" Target="https://www.researchgate.net/scientific-contributions/38359836_A_Hep" TargetMode="External"/><Relationship Id="rId29" Type="http://schemas.openxmlformats.org/officeDocument/2006/relationships/image" Target="media/image8.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essambedewy75@gmail.com" TargetMode="External"/><Relationship Id="rId24" Type="http://schemas.openxmlformats.org/officeDocument/2006/relationships/image" Target="media/image3.jp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cbi.nlm.nih.gov/pmc/articles/PMC5572971/" TargetMode="External"/><Relationship Id="rId23" Type="http://schemas.openxmlformats.org/officeDocument/2006/relationships/image" Target="media/image2.jpg"/><Relationship Id="rId28" Type="http://schemas.openxmlformats.org/officeDocument/2006/relationships/image" Target="media/image7.jpg"/><Relationship Id="rId10" Type="http://schemas.openxmlformats.org/officeDocument/2006/relationships/hyperlink" Target="mailto:mohamedsamir12@yahoo.com" TargetMode="External"/><Relationship Id="rId19" Type="http://schemas.openxmlformats.org/officeDocument/2006/relationships/hyperlink" Target="https://www.ncbi.nlm.nih.gov/pubmed/?term=Crisan%20D%5BAuthor%5D&amp;cauthor=true&amp;cauthor_uid=2578909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raelgendi@gmail.com" TargetMode="External"/><Relationship Id="rId14" Type="http://schemas.openxmlformats.org/officeDocument/2006/relationships/hyperlink" Target="https://www.ncbi.nlm.nih.gov/pubmed/?term=Vaezi%20MF%5BAuthor%5D&amp;cauthor=true&amp;cauthor_uid=28867969" TargetMode="External"/><Relationship Id="rId22" Type="http://schemas.openxmlformats.org/officeDocument/2006/relationships/image" Target="media/image1.jpg"/><Relationship Id="rId27" Type="http://schemas.openxmlformats.org/officeDocument/2006/relationships/image" Target="media/image6.jpg"/><Relationship Id="rId30"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2810</Words>
  <Characters>16018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Nesrin</dc:creator>
  <cp:lastModifiedBy>Gastro Congress 2021</cp:lastModifiedBy>
  <cp:revision>2</cp:revision>
  <dcterms:created xsi:type="dcterms:W3CDTF">2023-02-28T09:27:00Z</dcterms:created>
  <dcterms:modified xsi:type="dcterms:W3CDTF">2023-02-28T09:27:00Z</dcterms:modified>
</cp:coreProperties>
</file>