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D1B" w:rsidRDefault="00643ACA">
      <w:pPr>
        <w:rPr>
          <w:rFonts w:ascii="Times New Roman" w:hAnsi="Times New Roman" w:cs="Times New Roman"/>
          <w:b/>
          <w:sz w:val="24"/>
          <w:szCs w:val="24"/>
        </w:rPr>
      </w:pPr>
      <w:r w:rsidRPr="00643ACA">
        <w:rPr>
          <w:rFonts w:ascii="Times New Roman" w:hAnsi="Times New Roman" w:cs="Times New Roman"/>
          <w:b/>
          <w:sz w:val="24"/>
          <w:szCs w:val="24"/>
        </w:rPr>
        <w:t>Prognostic effect of excessive chemotherapy cycles for stage II and III gastric cancer patients after D2 + gastrectomy</w:t>
      </w:r>
    </w:p>
    <w:p w:rsidR="00643ACA" w:rsidRDefault="0098721D">
      <w:pPr>
        <w:rPr>
          <w:rFonts w:ascii="Times New Roman" w:hAnsi="Times New Roman" w:cs="Times New Roman"/>
          <w:sz w:val="24"/>
          <w:szCs w:val="24"/>
        </w:rPr>
      </w:pPr>
      <w:bookmarkStart w:id="0" w:name="_GoBack"/>
      <w:r>
        <w:rPr>
          <w:rFonts w:ascii="Times New Roman" w:hAnsi="Times New Roman" w:cs="Times New Roman"/>
          <w:sz w:val="24"/>
          <w:szCs w:val="24"/>
        </w:rPr>
        <w:t xml:space="preserve">Yi-Fan Li </w:t>
      </w:r>
      <w:bookmarkEnd w:id="0"/>
      <w:r>
        <w:rPr>
          <w:rFonts w:ascii="Times New Roman" w:hAnsi="Times New Roman" w:cs="Times New Roman"/>
          <w:sz w:val="24"/>
          <w:szCs w:val="24"/>
        </w:rPr>
        <w:t>and Wen-Bing Zhang</w:t>
      </w:r>
      <w:r>
        <w:rPr>
          <w:rFonts w:ascii="Times New Roman" w:hAnsi="Times New Roman" w:cs="Times New Roman"/>
          <w:sz w:val="24"/>
          <w:szCs w:val="24"/>
        </w:rPr>
        <w:br/>
        <w:t>Shanxi Cancer H</w:t>
      </w:r>
      <w:r w:rsidR="00643ACA" w:rsidRPr="00643ACA">
        <w:rPr>
          <w:rFonts w:ascii="Times New Roman" w:hAnsi="Times New Roman" w:cs="Times New Roman"/>
          <w:sz w:val="24"/>
          <w:szCs w:val="24"/>
        </w:rPr>
        <w:t>ospital, China</w:t>
      </w:r>
    </w:p>
    <w:p w:rsidR="00643ACA" w:rsidRDefault="00643ACA" w:rsidP="006F296B">
      <w:pPr>
        <w:jc w:val="center"/>
        <w:rPr>
          <w:rFonts w:ascii="Times New Roman" w:hAnsi="Times New Roman" w:cs="Times New Roman"/>
          <w:b/>
          <w:sz w:val="24"/>
          <w:szCs w:val="24"/>
        </w:rPr>
      </w:pPr>
      <w:r w:rsidRPr="00643ACA">
        <w:rPr>
          <w:rFonts w:ascii="Times New Roman" w:hAnsi="Times New Roman" w:cs="Times New Roman"/>
          <w:b/>
          <w:sz w:val="24"/>
          <w:szCs w:val="24"/>
        </w:rPr>
        <w:t>Abstract</w:t>
      </w:r>
    </w:p>
    <w:p w:rsidR="00643ACA" w:rsidRPr="00643ACA" w:rsidRDefault="00643ACA" w:rsidP="00643ACA">
      <w:pPr>
        <w:rPr>
          <w:rFonts w:ascii="Times New Roman" w:hAnsi="Times New Roman" w:cs="Times New Roman"/>
          <w:sz w:val="24"/>
          <w:szCs w:val="24"/>
        </w:rPr>
      </w:pPr>
      <w:r w:rsidRPr="00643ACA">
        <w:rPr>
          <w:rFonts w:ascii="Times New Roman" w:hAnsi="Times New Roman" w:cs="Times New Roman"/>
          <w:sz w:val="24"/>
          <w:szCs w:val="24"/>
        </w:rPr>
        <w:t>AIM</w:t>
      </w:r>
    </w:p>
    <w:p w:rsidR="00643ACA" w:rsidRPr="00643ACA" w:rsidRDefault="00643ACA" w:rsidP="00643ACA">
      <w:pPr>
        <w:rPr>
          <w:rFonts w:ascii="Times New Roman" w:hAnsi="Times New Roman" w:cs="Times New Roman"/>
          <w:sz w:val="24"/>
          <w:szCs w:val="24"/>
        </w:rPr>
      </w:pPr>
      <w:r w:rsidRPr="00643ACA">
        <w:rPr>
          <w:rFonts w:ascii="Times New Roman" w:hAnsi="Times New Roman" w:cs="Times New Roman"/>
          <w:sz w:val="24"/>
          <w:szCs w:val="24"/>
        </w:rPr>
        <w:t>To determine whether excessive chemotherapy cycles provide extra survival benefits, reduce recurrence rate, and improve survival rate in patients with stage II or III gastric cancer.</w:t>
      </w:r>
    </w:p>
    <w:p w:rsidR="00643ACA" w:rsidRPr="00643ACA" w:rsidRDefault="00643ACA" w:rsidP="00643ACA">
      <w:pPr>
        <w:rPr>
          <w:rFonts w:ascii="Times New Roman" w:hAnsi="Times New Roman" w:cs="Times New Roman"/>
          <w:sz w:val="24"/>
          <w:szCs w:val="24"/>
        </w:rPr>
      </w:pPr>
      <w:r w:rsidRPr="00643ACA">
        <w:rPr>
          <w:rFonts w:ascii="Times New Roman" w:hAnsi="Times New Roman" w:cs="Times New Roman"/>
          <w:sz w:val="24"/>
          <w:szCs w:val="24"/>
        </w:rPr>
        <w:t>METHODS</w:t>
      </w:r>
    </w:p>
    <w:p w:rsidR="00643ACA" w:rsidRPr="00643ACA" w:rsidRDefault="00643ACA" w:rsidP="00643ACA">
      <w:pPr>
        <w:rPr>
          <w:rFonts w:ascii="Times New Roman" w:hAnsi="Times New Roman" w:cs="Times New Roman"/>
          <w:sz w:val="24"/>
          <w:szCs w:val="24"/>
        </w:rPr>
      </w:pPr>
      <w:r w:rsidRPr="00643ACA">
        <w:rPr>
          <w:rFonts w:ascii="Times New Roman" w:hAnsi="Times New Roman" w:cs="Times New Roman"/>
          <w:sz w:val="24"/>
          <w:szCs w:val="24"/>
        </w:rPr>
        <w:t>We analyzed and summarized 412 patients with stage II gastric cancer and 902 patients with stage III gastric cancer who received D2 gastrectomy plus adjuvant chemotherapy or neoadjuvant chemotherapy. Analysis and comparison at a ratio of 1:1 is aimed at reducing realistic baseline differences (n = 97 in each group of stage II, n = 242 in each group of stage III). Progression-free survival, overall survival and recurrence were the main outcome indicators.</w:t>
      </w:r>
    </w:p>
    <w:p w:rsidR="00643ACA" w:rsidRPr="00643ACA" w:rsidRDefault="00643ACA" w:rsidP="00643ACA">
      <w:pPr>
        <w:rPr>
          <w:rFonts w:ascii="Times New Roman" w:hAnsi="Times New Roman" w:cs="Times New Roman"/>
          <w:sz w:val="24"/>
          <w:szCs w:val="24"/>
        </w:rPr>
      </w:pPr>
      <w:r w:rsidRPr="00643ACA">
        <w:rPr>
          <w:rFonts w:ascii="Times New Roman" w:hAnsi="Times New Roman" w:cs="Times New Roman"/>
          <w:sz w:val="24"/>
          <w:szCs w:val="24"/>
        </w:rPr>
        <w:t>RESULTS</w:t>
      </w:r>
    </w:p>
    <w:p w:rsidR="00643ACA" w:rsidRPr="00643ACA" w:rsidRDefault="00643ACA" w:rsidP="00643ACA">
      <w:pPr>
        <w:rPr>
          <w:rFonts w:ascii="Times New Roman" w:hAnsi="Times New Roman" w:cs="Times New Roman"/>
          <w:sz w:val="24"/>
          <w:szCs w:val="24"/>
        </w:rPr>
      </w:pPr>
      <w:r w:rsidRPr="00643ACA">
        <w:rPr>
          <w:rFonts w:ascii="Times New Roman" w:hAnsi="Times New Roman" w:cs="Times New Roman"/>
          <w:sz w:val="24"/>
          <w:szCs w:val="24"/>
        </w:rPr>
        <w:t>When the propensity score was matched, the baseline features of stage II and III gastric cancer patients were similar between the two groups. After a series of investigations, Kaplan-Meier found that the progression-free survival and overall survival of stage II and III gastric cancer patients were consistent between the two groups. The local metastasis rate (P = 0.002), total recurrence rate (P &lt; 0.001) and distant metastasis rate (P = 0.001) in the ≥ 9 cycle group of stage III gastric cancer were statistically lower than those in the &lt; 9 cycle group. The interaction analysis by Cox proportional hazard regression model showed that intestinal type, proximal gastrectomy, and ≥ 6 cm maximum diameter of tumor had a higher risk of total mortality in the &lt; 9 cycles group.</w:t>
      </w:r>
    </w:p>
    <w:p w:rsidR="00643ACA" w:rsidRPr="00643ACA" w:rsidRDefault="00643ACA" w:rsidP="00643ACA">
      <w:pPr>
        <w:rPr>
          <w:rFonts w:ascii="Times New Roman" w:hAnsi="Times New Roman" w:cs="Times New Roman"/>
          <w:sz w:val="24"/>
          <w:szCs w:val="24"/>
        </w:rPr>
      </w:pPr>
      <w:r w:rsidRPr="00643ACA">
        <w:rPr>
          <w:rFonts w:ascii="Times New Roman" w:hAnsi="Times New Roman" w:cs="Times New Roman"/>
          <w:sz w:val="24"/>
          <w:szCs w:val="24"/>
        </w:rPr>
        <w:t>CONCLUSION</w:t>
      </w:r>
    </w:p>
    <w:p w:rsidR="00643ACA" w:rsidRDefault="00643ACA" w:rsidP="00643ACA">
      <w:pPr>
        <w:rPr>
          <w:rFonts w:ascii="Times New Roman" w:hAnsi="Times New Roman" w:cs="Times New Roman"/>
          <w:sz w:val="24"/>
          <w:szCs w:val="24"/>
        </w:rPr>
      </w:pPr>
      <w:r w:rsidRPr="00643ACA">
        <w:rPr>
          <w:rFonts w:ascii="Times New Roman" w:hAnsi="Times New Roman" w:cs="Times New Roman"/>
          <w:sz w:val="24"/>
          <w:szCs w:val="24"/>
        </w:rPr>
        <w:t>Overall, ≥ 9 chemotherapy cycles is not recommended for patients with stage II and stage III gastric cancer because it has an insignificant role in the prognosis of gastric cancer. However, for patients with stage III gastric cancer, ≥ 9 cycles of chemotherapy was shown to significantly decrease recurrence.</w:t>
      </w:r>
    </w:p>
    <w:p w:rsidR="00643ACA" w:rsidRDefault="00643ACA" w:rsidP="00643ACA">
      <w:pPr>
        <w:pStyle w:val="Heading3"/>
        <w:spacing w:before="74"/>
      </w:pPr>
      <w:r>
        <w:rPr>
          <w:color w:val="BF5A14"/>
        </w:rPr>
        <w:t>Image</w:t>
      </w:r>
    </w:p>
    <w:p w:rsidR="00643ACA" w:rsidRPr="00643ACA" w:rsidRDefault="00643ACA" w:rsidP="00643ACA">
      <w:pPr>
        <w:pStyle w:val="BodyText"/>
        <w:spacing w:before="2"/>
        <w:rPr>
          <w:rFonts w:ascii="Times New Roman" w:hAnsi="Times New Roman" w:cs="Times New Roman"/>
          <w:b/>
          <w:sz w:val="24"/>
          <w:szCs w:val="24"/>
        </w:rPr>
      </w:pPr>
      <w:r w:rsidRPr="00643ACA">
        <w:rPr>
          <w:rFonts w:ascii="Times New Roman" w:hAnsi="Times New Roman" w:cs="Times New Roman"/>
          <w:b/>
          <w:noProof/>
          <w:sz w:val="24"/>
          <w:szCs w:val="24"/>
          <w:lang w:val="en-IN" w:eastAsia="en-IN"/>
        </w:rPr>
        <w:lastRenderedPageBreak/>
        <w:drawing>
          <wp:inline distT="0" distB="0" distL="0" distR="0" wp14:anchorId="5F33F7F0" wp14:editId="67BB8E59">
            <wp:extent cx="3529013" cy="19297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51772" cy="1942145"/>
                    </a:xfrm>
                    <a:prstGeom prst="rect">
                      <a:avLst/>
                    </a:prstGeom>
                    <a:noFill/>
                    <a:ln>
                      <a:noFill/>
                    </a:ln>
                  </pic:spPr>
                </pic:pic>
              </a:graphicData>
            </a:graphic>
          </wp:inline>
        </w:drawing>
      </w:r>
    </w:p>
    <w:p w:rsidR="00643ACA" w:rsidRPr="00643ACA" w:rsidRDefault="00643ACA" w:rsidP="00643ACA">
      <w:pPr>
        <w:autoSpaceDE w:val="0"/>
        <w:autoSpaceDN w:val="0"/>
        <w:adjustRightInd w:val="0"/>
        <w:rPr>
          <w:rFonts w:ascii="Times New Roman" w:eastAsia="ArialNarrow-Bold" w:hAnsi="Times New Roman" w:cs="Times New Roman"/>
          <w:b/>
          <w:bCs/>
          <w:sz w:val="24"/>
          <w:szCs w:val="24"/>
        </w:rPr>
      </w:pPr>
      <w:r w:rsidRPr="00643ACA">
        <w:rPr>
          <w:rFonts w:ascii="Times New Roman" w:eastAsia="ArialNarrow-Bold" w:hAnsi="Times New Roman" w:cs="Times New Roman"/>
          <w:b/>
          <w:bCs/>
          <w:sz w:val="24"/>
          <w:szCs w:val="24"/>
        </w:rPr>
        <w:t>Figure 2 Comparison of overall survival and progression-free survival before and after propensity score matching in stage II gastric</w:t>
      </w:r>
    </w:p>
    <w:p w:rsidR="00643ACA" w:rsidRPr="00643ACA" w:rsidRDefault="00643ACA" w:rsidP="00643ACA">
      <w:pPr>
        <w:autoSpaceDE w:val="0"/>
        <w:autoSpaceDN w:val="0"/>
        <w:adjustRightInd w:val="0"/>
        <w:rPr>
          <w:rFonts w:ascii="Times New Roman" w:eastAsia="ArialNarrow" w:hAnsi="Times New Roman" w:cs="Times New Roman"/>
          <w:sz w:val="24"/>
          <w:szCs w:val="24"/>
        </w:rPr>
      </w:pPr>
      <w:proofErr w:type="gramStart"/>
      <w:r w:rsidRPr="00643ACA">
        <w:rPr>
          <w:rFonts w:ascii="Times New Roman" w:eastAsia="ArialNarrow-Bold" w:hAnsi="Times New Roman" w:cs="Times New Roman"/>
          <w:b/>
          <w:bCs/>
          <w:sz w:val="24"/>
          <w:szCs w:val="24"/>
        </w:rPr>
        <w:t>cancer</w:t>
      </w:r>
      <w:proofErr w:type="gramEnd"/>
      <w:r w:rsidRPr="00643ACA">
        <w:rPr>
          <w:rFonts w:ascii="Times New Roman" w:eastAsia="ArialNarrow-Bold" w:hAnsi="Times New Roman" w:cs="Times New Roman"/>
          <w:b/>
          <w:bCs/>
          <w:sz w:val="24"/>
          <w:szCs w:val="24"/>
        </w:rPr>
        <w:t xml:space="preserve"> patients. </w:t>
      </w:r>
      <w:r w:rsidRPr="00643ACA">
        <w:rPr>
          <w:rFonts w:ascii="Times New Roman" w:eastAsia="ArialNarrow" w:hAnsi="Times New Roman" w:cs="Times New Roman"/>
          <w:sz w:val="24"/>
          <w:szCs w:val="24"/>
        </w:rPr>
        <w:t>A: Comparison of overall survival between the two groups based on chemotherapy cycles before propensity score matching (PSM); B: Comparison of progression-free survival between the two groups based on chemotherapy cycles before PSM; C and D: Comparison of overall survival (C) and progression-free survival (D) between the two groups based on chemotherapy cycles after PSM.</w:t>
      </w:r>
    </w:p>
    <w:p w:rsidR="00643ACA" w:rsidRPr="00643ACA" w:rsidRDefault="00643ACA" w:rsidP="00643ACA">
      <w:pPr>
        <w:rPr>
          <w:rFonts w:ascii="Times New Roman" w:hAnsi="Times New Roman" w:cs="Times New Roman"/>
          <w:b/>
          <w:sz w:val="24"/>
          <w:szCs w:val="24"/>
        </w:rPr>
      </w:pPr>
      <w:r w:rsidRPr="00643ACA">
        <w:rPr>
          <w:rFonts w:ascii="Times New Roman" w:hAnsi="Times New Roman" w:cs="Times New Roman"/>
          <w:b/>
          <w:sz w:val="24"/>
          <w:szCs w:val="24"/>
        </w:rPr>
        <w:t xml:space="preserve">Recent Publications </w:t>
      </w:r>
    </w:p>
    <w:p w:rsidR="00643ACA" w:rsidRPr="00643ACA" w:rsidRDefault="00643ACA" w:rsidP="00643ACA">
      <w:pPr>
        <w:rPr>
          <w:rFonts w:ascii="Times New Roman" w:hAnsi="Times New Roman" w:cs="Times New Roman"/>
          <w:sz w:val="24"/>
          <w:szCs w:val="24"/>
        </w:rPr>
      </w:pPr>
      <w:r w:rsidRPr="00643ACA">
        <w:rPr>
          <w:rFonts w:ascii="Times New Roman" w:hAnsi="Times New Roman" w:cs="Times New Roman"/>
          <w:sz w:val="24"/>
          <w:szCs w:val="24"/>
        </w:rPr>
        <w:t>1.</w:t>
      </w:r>
      <w:r w:rsidRPr="00643ACA">
        <w:rPr>
          <w:rFonts w:ascii="Times New Roman" w:hAnsi="Times New Roman" w:cs="Times New Roman"/>
          <w:sz w:val="24"/>
          <w:szCs w:val="24"/>
        </w:rPr>
        <w:tab/>
        <w:t xml:space="preserve">Li Y, Zhao H. Postoperative recurrence of gastric cancer depends on whether the chemotherapy cycle was more than 9 cycles: Based on a retrospective and observational study of follow-up within 3 years of 843 patients. </w:t>
      </w:r>
      <w:proofErr w:type="gramStart"/>
      <w:r w:rsidRPr="00643ACA">
        <w:rPr>
          <w:rFonts w:ascii="Times New Roman" w:hAnsi="Times New Roman" w:cs="Times New Roman"/>
          <w:sz w:val="24"/>
          <w:szCs w:val="24"/>
        </w:rPr>
        <w:t>Medicine (Baltimore).</w:t>
      </w:r>
      <w:proofErr w:type="gramEnd"/>
      <w:r w:rsidRPr="00643ACA">
        <w:rPr>
          <w:rFonts w:ascii="Times New Roman" w:hAnsi="Times New Roman" w:cs="Times New Roman"/>
          <w:sz w:val="24"/>
          <w:szCs w:val="24"/>
        </w:rPr>
        <w:t xml:space="preserve"> 2022 Feb 4</w:t>
      </w:r>
      <w:proofErr w:type="gramStart"/>
      <w:r w:rsidRPr="00643ACA">
        <w:rPr>
          <w:rFonts w:ascii="Times New Roman" w:hAnsi="Times New Roman" w:cs="Times New Roman"/>
          <w:sz w:val="24"/>
          <w:szCs w:val="24"/>
        </w:rPr>
        <w:t>;101</w:t>
      </w:r>
      <w:proofErr w:type="gramEnd"/>
      <w:r w:rsidRPr="00643ACA">
        <w:rPr>
          <w:rFonts w:ascii="Times New Roman" w:hAnsi="Times New Roman" w:cs="Times New Roman"/>
          <w:sz w:val="24"/>
          <w:szCs w:val="24"/>
        </w:rPr>
        <w:t xml:space="preserve">(5):e28620. </w:t>
      </w:r>
    </w:p>
    <w:p w:rsidR="00643ACA" w:rsidRPr="00643ACA" w:rsidRDefault="00643ACA" w:rsidP="00643ACA">
      <w:pPr>
        <w:rPr>
          <w:rFonts w:ascii="Times New Roman" w:hAnsi="Times New Roman" w:cs="Times New Roman"/>
          <w:sz w:val="24"/>
          <w:szCs w:val="24"/>
        </w:rPr>
      </w:pPr>
      <w:r w:rsidRPr="00643ACA">
        <w:rPr>
          <w:rFonts w:ascii="Times New Roman" w:hAnsi="Times New Roman" w:cs="Times New Roman"/>
          <w:sz w:val="24"/>
          <w:szCs w:val="24"/>
        </w:rPr>
        <w:t>2.</w:t>
      </w:r>
      <w:r w:rsidRPr="00643ACA">
        <w:rPr>
          <w:rFonts w:ascii="Times New Roman" w:hAnsi="Times New Roman" w:cs="Times New Roman"/>
          <w:sz w:val="24"/>
          <w:szCs w:val="24"/>
        </w:rPr>
        <w:tab/>
        <w:t xml:space="preserve">Li Y, Zhang X. Prognostic </w:t>
      </w:r>
      <w:proofErr w:type="spellStart"/>
      <w:r w:rsidRPr="00643ACA">
        <w:rPr>
          <w:rFonts w:ascii="Times New Roman" w:hAnsi="Times New Roman" w:cs="Times New Roman"/>
          <w:sz w:val="24"/>
          <w:szCs w:val="24"/>
        </w:rPr>
        <w:t>nomograms</w:t>
      </w:r>
      <w:proofErr w:type="spellEnd"/>
      <w:r w:rsidRPr="00643ACA">
        <w:rPr>
          <w:rFonts w:ascii="Times New Roman" w:hAnsi="Times New Roman" w:cs="Times New Roman"/>
          <w:sz w:val="24"/>
          <w:szCs w:val="24"/>
        </w:rPr>
        <w:t xml:space="preserve"> for gastric carcinoma after surgery to assist decision-making for postoperative treatment with chemotherapy cycles &lt;9 or chemotherapy cycles ≥9. Front Surg. 2022 Aug 26</w:t>
      </w:r>
      <w:proofErr w:type="gramStart"/>
      <w:r w:rsidRPr="00643ACA">
        <w:rPr>
          <w:rFonts w:ascii="Times New Roman" w:hAnsi="Times New Roman" w:cs="Times New Roman"/>
          <w:sz w:val="24"/>
          <w:szCs w:val="24"/>
        </w:rPr>
        <w:t>;9:916483</w:t>
      </w:r>
      <w:proofErr w:type="gramEnd"/>
      <w:r w:rsidRPr="00643ACA">
        <w:rPr>
          <w:rFonts w:ascii="Times New Roman" w:hAnsi="Times New Roman" w:cs="Times New Roman"/>
          <w:sz w:val="24"/>
          <w:szCs w:val="24"/>
        </w:rPr>
        <w:t xml:space="preserve">. </w:t>
      </w:r>
    </w:p>
    <w:p w:rsidR="00643ACA" w:rsidRDefault="00643ACA" w:rsidP="00643ACA">
      <w:pPr>
        <w:rPr>
          <w:rFonts w:ascii="Times New Roman" w:hAnsi="Times New Roman" w:cs="Times New Roman"/>
          <w:sz w:val="24"/>
          <w:szCs w:val="24"/>
        </w:rPr>
      </w:pPr>
      <w:r w:rsidRPr="00643ACA">
        <w:rPr>
          <w:rFonts w:ascii="Times New Roman" w:hAnsi="Times New Roman" w:cs="Times New Roman"/>
          <w:sz w:val="24"/>
          <w:szCs w:val="24"/>
        </w:rPr>
        <w:t>3.</w:t>
      </w:r>
      <w:r w:rsidRPr="00643ACA">
        <w:rPr>
          <w:rFonts w:ascii="Times New Roman" w:hAnsi="Times New Roman" w:cs="Times New Roman"/>
          <w:sz w:val="24"/>
          <w:szCs w:val="24"/>
        </w:rPr>
        <w:tab/>
        <w:t xml:space="preserve">Li YF, Zhang WB, </w:t>
      </w:r>
      <w:proofErr w:type="gramStart"/>
      <w:r w:rsidRPr="00643ACA">
        <w:rPr>
          <w:rFonts w:ascii="Times New Roman" w:hAnsi="Times New Roman" w:cs="Times New Roman"/>
          <w:sz w:val="24"/>
          <w:szCs w:val="24"/>
        </w:rPr>
        <w:t>Gao</w:t>
      </w:r>
      <w:proofErr w:type="gramEnd"/>
      <w:r w:rsidRPr="00643ACA">
        <w:rPr>
          <w:rFonts w:ascii="Times New Roman" w:hAnsi="Times New Roman" w:cs="Times New Roman"/>
          <w:sz w:val="24"/>
          <w:szCs w:val="24"/>
        </w:rPr>
        <w:t xml:space="preserve"> YY. Prognostic effect of excessive chemotherapy cycles for stage II and III gastric cancer patients after D2 + gastrectomy. World J </w:t>
      </w:r>
      <w:proofErr w:type="spellStart"/>
      <w:r w:rsidRPr="00643ACA">
        <w:rPr>
          <w:rFonts w:ascii="Times New Roman" w:hAnsi="Times New Roman" w:cs="Times New Roman"/>
          <w:sz w:val="24"/>
          <w:szCs w:val="24"/>
        </w:rPr>
        <w:t>Gastrointest</w:t>
      </w:r>
      <w:proofErr w:type="spellEnd"/>
      <w:r w:rsidRPr="00643ACA">
        <w:rPr>
          <w:rFonts w:ascii="Times New Roman" w:hAnsi="Times New Roman" w:cs="Times New Roman"/>
          <w:sz w:val="24"/>
          <w:szCs w:val="24"/>
        </w:rPr>
        <w:t xml:space="preserve"> </w:t>
      </w:r>
      <w:proofErr w:type="spellStart"/>
      <w:r w:rsidRPr="00643ACA">
        <w:rPr>
          <w:rFonts w:ascii="Times New Roman" w:hAnsi="Times New Roman" w:cs="Times New Roman"/>
          <w:sz w:val="24"/>
          <w:szCs w:val="24"/>
        </w:rPr>
        <w:t>Surg</w:t>
      </w:r>
      <w:proofErr w:type="spellEnd"/>
      <w:r w:rsidRPr="00643ACA">
        <w:rPr>
          <w:rFonts w:ascii="Times New Roman" w:hAnsi="Times New Roman" w:cs="Times New Roman"/>
          <w:sz w:val="24"/>
          <w:szCs w:val="24"/>
        </w:rPr>
        <w:t xml:space="preserve"> 2023; 15(1): 32-48.</w:t>
      </w:r>
    </w:p>
    <w:p w:rsidR="00643ACA" w:rsidRPr="00643ACA" w:rsidRDefault="00643ACA" w:rsidP="00643ACA">
      <w:pPr>
        <w:rPr>
          <w:rFonts w:ascii="Times New Roman" w:hAnsi="Times New Roman" w:cs="Times New Roman"/>
          <w:b/>
          <w:sz w:val="24"/>
          <w:szCs w:val="24"/>
        </w:rPr>
      </w:pPr>
      <w:r w:rsidRPr="00643ACA">
        <w:rPr>
          <w:rFonts w:ascii="Times New Roman" w:hAnsi="Times New Roman" w:cs="Times New Roman"/>
          <w:b/>
          <w:sz w:val="24"/>
          <w:szCs w:val="24"/>
        </w:rPr>
        <w:t>Biography:</w:t>
      </w:r>
    </w:p>
    <w:p w:rsidR="006F296B" w:rsidRDefault="006F296B" w:rsidP="00643ACA">
      <w:pPr>
        <w:rPr>
          <w:rFonts w:ascii="Times New Roman" w:hAnsi="Times New Roman" w:cs="Times New Roman"/>
          <w:sz w:val="24"/>
          <w:szCs w:val="24"/>
        </w:rPr>
      </w:pPr>
      <w:r>
        <w:rPr>
          <w:rFonts w:ascii="Times New Roman" w:hAnsi="Times New Roman" w:cs="Times New Roman"/>
          <w:sz w:val="24"/>
          <w:szCs w:val="24"/>
        </w:rPr>
        <w:t xml:space="preserve">Yi-Fan </w:t>
      </w:r>
      <w:r w:rsidR="00643ACA" w:rsidRPr="00643ACA">
        <w:rPr>
          <w:rFonts w:ascii="Times New Roman" w:hAnsi="Times New Roman" w:cs="Times New Roman"/>
          <w:sz w:val="24"/>
          <w:szCs w:val="24"/>
        </w:rPr>
        <w:t>Li has her expertise in management and passion in improving the prognosis and quality of life of pa</w:t>
      </w:r>
      <w:r w:rsidR="00643ACA">
        <w:rPr>
          <w:rFonts w:ascii="Times New Roman" w:hAnsi="Times New Roman" w:cs="Times New Roman"/>
          <w:sz w:val="24"/>
          <w:szCs w:val="24"/>
        </w:rPr>
        <w:t xml:space="preserve">tients of gastric cancer. </w:t>
      </w:r>
      <w:r w:rsidR="00643ACA" w:rsidRPr="00643ACA">
        <w:rPr>
          <w:rFonts w:ascii="Times New Roman" w:hAnsi="Times New Roman" w:cs="Times New Roman"/>
          <w:sz w:val="24"/>
          <w:szCs w:val="24"/>
        </w:rPr>
        <w:t>Member of</w:t>
      </w:r>
      <w:r w:rsidR="00643ACA">
        <w:rPr>
          <w:rFonts w:ascii="Times New Roman" w:hAnsi="Times New Roman" w:cs="Times New Roman"/>
          <w:sz w:val="24"/>
          <w:szCs w:val="24"/>
        </w:rPr>
        <w:t xml:space="preserve"> Shanxi Anti-Cancer Association, </w:t>
      </w:r>
      <w:r w:rsidR="00643ACA" w:rsidRPr="00643ACA">
        <w:rPr>
          <w:rFonts w:ascii="Times New Roman" w:hAnsi="Times New Roman" w:cs="Times New Roman"/>
          <w:sz w:val="24"/>
          <w:szCs w:val="24"/>
        </w:rPr>
        <w:t>Member o</w:t>
      </w:r>
      <w:r w:rsidR="00643ACA">
        <w:rPr>
          <w:rFonts w:ascii="Times New Roman" w:hAnsi="Times New Roman" w:cs="Times New Roman"/>
          <w:sz w:val="24"/>
          <w:szCs w:val="24"/>
        </w:rPr>
        <w:t xml:space="preserve">f China Anti-Cancer Association, </w:t>
      </w:r>
      <w:r w:rsidR="00643ACA" w:rsidRPr="00643ACA">
        <w:rPr>
          <w:rFonts w:ascii="Times New Roman" w:hAnsi="Times New Roman" w:cs="Times New Roman"/>
          <w:sz w:val="24"/>
          <w:szCs w:val="24"/>
        </w:rPr>
        <w:t xml:space="preserve">Member of gastric Cancer Committee of </w:t>
      </w:r>
      <w:r w:rsidR="00643ACA">
        <w:rPr>
          <w:rFonts w:ascii="Times New Roman" w:hAnsi="Times New Roman" w:cs="Times New Roman"/>
          <w:sz w:val="24"/>
          <w:szCs w:val="24"/>
        </w:rPr>
        <w:t xml:space="preserve">Chinese Anti-Cancer Association, </w:t>
      </w:r>
      <w:r w:rsidR="00643ACA" w:rsidRPr="00643ACA">
        <w:rPr>
          <w:rFonts w:ascii="Times New Roman" w:hAnsi="Times New Roman" w:cs="Times New Roman"/>
          <w:sz w:val="24"/>
          <w:szCs w:val="24"/>
        </w:rPr>
        <w:t xml:space="preserve">Member of Targeted Therapy Committee of </w:t>
      </w:r>
      <w:r w:rsidR="00643ACA">
        <w:rPr>
          <w:rFonts w:ascii="Times New Roman" w:hAnsi="Times New Roman" w:cs="Times New Roman"/>
          <w:sz w:val="24"/>
          <w:szCs w:val="24"/>
        </w:rPr>
        <w:t xml:space="preserve">Chinese Anti-Cancer Association, </w:t>
      </w:r>
      <w:r w:rsidR="00643ACA" w:rsidRPr="00643ACA">
        <w:rPr>
          <w:rFonts w:ascii="Times New Roman" w:hAnsi="Times New Roman" w:cs="Times New Roman"/>
          <w:sz w:val="24"/>
          <w:szCs w:val="24"/>
        </w:rPr>
        <w:t xml:space="preserve">Member of Precision Therapy Committee of the </w:t>
      </w:r>
      <w:r w:rsidR="00643ACA">
        <w:rPr>
          <w:rFonts w:ascii="Times New Roman" w:hAnsi="Times New Roman" w:cs="Times New Roman"/>
          <w:sz w:val="24"/>
          <w:szCs w:val="24"/>
        </w:rPr>
        <w:t xml:space="preserve">Chinese Anti-Cancer Association, </w:t>
      </w:r>
      <w:r w:rsidR="00643ACA" w:rsidRPr="00643ACA">
        <w:rPr>
          <w:rFonts w:ascii="Times New Roman" w:hAnsi="Times New Roman" w:cs="Times New Roman"/>
          <w:sz w:val="24"/>
          <w:szCs w:val="24"/>
        </w:rPr>
        <w:t xml:space="preserve">Member of Liver pathology Committee of </w:t>
      </w:r>
      <w:r w:rsidR="00643ACA">
        <w:rPr>
          <w:rFonts w:ascii="Times New Roman" w:hAnsi="Times New Roman" w:cs="Times New Roman"/>
          <w:sz w:val="24"/>
          <w:szCs w:val="24"/>
        </w:rPr>
        <w:t xml:space="preserve">Chinese Anti-Cancer Association, </w:t>
      </w:r>
      <w:r w:rsidR="00643ACA" w:rsidRPr="00643ACA">
        <w:rPr>
          <w:rFonts w:ascii="Times New Roman" w:hAnsi="Times New Roman" w:cs="Times New Roman"/>
          <w:sz w:val="24"/>
          <w:szCs w:val="24"/>
        </w:rPr>
        <w:t xml:space="preserve">Member of the Pancreatic Lesion Committee of the </w:t>
      </w:r>
      <w:r w:rsidR="00643ACA">
        <w:rPr>
          <w:rFonts w:ascii="Times New Roman" w:hAnsi="Times New Roman" w:cs="Times New Roman"/>
          <w:sz w:val="24"/>
          <w:szCs w:val="24"/>
        </w:rPr>
        <w:t xml:space="preserve">Chinese Anti-Cancer Association, </w:t>
      </w:r>
      <w:r w:rsidR="00643ACA" w:rsidRPr="00643ACA">
        <w:rPr>
          <w:rFonts w:ascii="Times New Roman" w:hAnsi="Times New Roman" w:cs="Times New Roman"/>
          <w:sz w:val="24"/>
          <w:szCs w:val="24"/>
        </w:rPr>
        <w:t xml:space="preserve">Member of the International Gastric </w:t>
      </w:r>
      <w:r w:rsidR="00643ACA" w:rsidRPr="00643ACA">
        <w:rPr>
          <w:rFonts w:ascii="Times New Roman" w:hAnsi="Times New Roman" w:cs="Times New Roman"/>
          <w:sz w:val="24"/>
          <w:szCs w:val="24"/>
        </w:rPr>
        <w:lastRenderedPageBreak/>
        <w:t>Cancer Association (IGCA)</w:t>
      </w:r>
      <w:r w:rsidR="00643ACA">
        <w:rPr>
          <w:rFonts w:ascii="Times New Roman" w:hAnsi="Times New Roman" w:cs="Times New Roman"/>
          <w:sz w:val="24"/>
          <w:szCs w:val="24"/>
        </w:rPr>
        <w:t xml:space="preserve">, </w:t>
      </w:r>
      <w:r w:rsidR="00643ACA" w:rsidRPr="00643ACA">
        <w:rPr>
          <w:rFonts w:ascii="Times New Roman" w:hAnsi="Times New Roman" w:cs="Times New Roman"/>
          <w:sz w:val="24"/>
          <w:szCs w:val="24"/>
        </w:rPr>
        <w:t>Member of the International Liver Cancer Association (ILCA)</w:t>
      </w:r>
      <w:r w:rsidR="00643ACA">
        <w:rPr>
          <w:rFonts w:ascii="Times New Roman" w:hAnsi="Times New Roman" w:cs="Times New Roman"/>
          <w:sz w:val="24"/>
          <w:szCs w:val="24"/>
        </w:rPr>
        <w:t xml:space="preserve">, </w:t>
      </w:r>
      <w:r w:rsidR="00643ACA" w:rsidRPr="00643ACA">
        <w:rPr>
          <w:rFonts w:ascii="Times New Roman" w:hAnsi="Times New Roman" w:cs="Times New Roman"/>
          <w:sz w:val="24"/>
          <w:szCs w:val="24"/>
        </w:rPr>
        <w:t xml:space="preserve">Member of the European </w:t>
      </w:r>
      <w:r w:rsidR="00643ACA">
        <w:rPr>
          <w:rFonts w:ascii="Times New Roman" w:hAnsi="Times New Roman" w:cs="Times New Roman"/>
          <w:sz w:val="24"/>
          <w:szCs w:val="24"/>
        </w:rPr>
        <w:t>S</w:t>
      </w:r>
      <w:r>
        <w:rPr>
          <w:rFonts w:ascii="Times New Roman" w:hAnsi="Times New Roman" w:cs="Times New Roman"/>
          <w:sz w:val="24"/>
          <w:szCs w:val="24"/>
        </w:rPr>
        <w:t>ociety Medical Oncology (ESMO).</w:t>
      </w:r>
    </w:p>
    <w:p w:rsidR="00643ACA" w:rsidRPr="00643ACA" w:rsidRDefault="00643ACA" w:rsidP="00643ACA">
      <w:pPr>
        <w:rPr>
          <w:rFonts w:ascii="Times New Roman" w:hAnsi="Times New Roman" w:cs="Times New Roman"/>
          <w:b/>
          <w:sz w:val="24"/>
          <w:szCs w:val="24"/>
        </w:rPr>
      </w:pPr>
      <w:r w:rsidRPr="00643ACA">
        <w:rPr>
          <w:rFonts w:ascii="Times New Roman" w:hAnsi="Times New Roman" w:cs="Times New Roman"/>
          <w:b/>
          <w:sz w:val="24"/>
          <w:szCs w:val="24"/>
        </w:rPr>
        <w:t>Notes/Comments:</w:t>
      </w:r>
    </w:p>
    <w:p w:rsidR="00643ACA" w:rsidRPr="00643ACA" w:rsidRDefault="00643ACA" w:rsidP="00643ACA">
      <w:pPr>
        <w:rPr>
          <w:rFonts w:ascii="Times New Roman" w:hAnsi="Times New Roman" w:cs="Times New Roman"/>
          <w:sz w:val="24"/>
          <w:szCs w:val="24"/>
        </w:rPr>
      </w:pPr>
      <w:r w:rsidRPr="00643ACA">
        <w:rPr>
          <w:rFonts w:ascii="Times New Roman" w:hAnsi="Times New Roman" w:cs="Times New Roman"/>
          <w:sz w:val="24"/>
          <w:szCs w:val="24"/>
        </w:rPr>
        <w:t xml:space="preserve">The Authors </w:t>
      </w:r>
      <w:proofErr w:type="spellStart"/>
      <w:r w:rsidRPr="00643ACA">
        <w:rPr>
          <w:rFonts w:ascii="Times New Roman" w:hAnsi="Times New Roman" w:cs="Times New Roman"/>
          <w:sz w:val="24"/>
          <w:szCs w:val="24"/>
        </w:rPr>
        <w:t>restrospectively</w:t>
      </w:r>
      <w:proofErr w:type="spellEnd"/>
      <w:r w:rsidRPr="00643ACA">
        <w:rPr>
          <w:rFonts w:ascii="Times New Roman" w:hAnsi="Times New Roman" w:cs="Times New Roman"/>
          <w:sz w:val="24"/>
          <w:szCs w:val="24"/>
        </w:rPr>
        <w:t xml:space="preserve"> evaluated 412 patients in stage II and 902 </w:t>
      </w:r>
      <w:proofErr w:type="gramStart"/>
      <w:r w:rsidRPr="00643ACA">
        <w:rPr>
          <w:rFonts w:ascii="Times New Roman" w:hAnsi="Times New Roman" w:cs="Times New Roman"/>
          <w:sz w:val="24"/>
          <w:szCs w:val="24"/>
        </w:rPr>
        <w:t>patient</w:t>
      </w:r>
      <w:proofErr w:type="gramEnd"/>
      <w:r w:rsidRPr="00643ACA">
        <w:rPr>
          <w:rFonts w:ascii="Times New Roman" w:hAnsi="Times New Roman" w:cs="Times New Roman"/>
          <w:sz w:val="24"/>
          <w:szCs w:val="24"/>
        </w:rPr>
        <w:t xml:space="preserve"> in stage III gastric cancer who underwent D2+gastrectomy plus adjuvant chemotherapy or neo-adjuvant chemotherapy. The aim of this study was to affirm </w:t>
      </w:r>
      <w:proofErr w:type="spellStart"/>
      <w:r w:rsidRPr="00643ACA">
        <w:rPr>
          <w:rFonts w:ascii="Times New Roman" w:hAnsi="Times New Roman" w:cs="Times New Roman"/>
          <w:sz w:val="24"/>
          <w:szCs w:val="24"/>
        </w:rPr>
        <w:t>wether</w:t>
      </w:r>
      <w:proofErr w:type="spellEnd"/>
      <w:r w:rsidRPr="00643ACA">
        <w:rPr>
          <w:rFonts w:ascii="Times New Roman" w:hAnsi="Times New Roman" w:cs="Times New Roman"/>
          <w:sz w:val="24"/>
          <w:szCs w:val="24"/>
        </w:rPr>
        <w:t xml:space="preserve"> excessive chemotherapy cycles have extra survival benefits on stage II-III gastric cancer. The Authors pointed out that intestinal-type, proximal gastrectomy, maximum diameter of tumor (&gt;= 6cm) had higher risk of total mortality in group of chemotherapy cycle &gt;= 9 and disease progression in group of chemotherapy cycles &lt;9. Chemotherapy cycles &gt;= 9 is unnecessary for patients with stage II and III gastric cancer, owing to its insignificant role in prognosis in gastric cancer. Chemotherapy cycles &gt;=9 has a major part to play in avoiding recurrence of patients with stage III, except for the role in stage II. It is a very interesting manuscript. Background, Methods, and Results are good. Discussion sound well. Complete the references.</w:t>
      </w:r>
    </w:p>
    <w:sectPr w:rsidR="00643ACA" w:rsidRPr="00643A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Narrow-Bold">
    <w:altName w:val="等线"/>
    <w:panose1 w:val="00000000000000000000"/>
    <w:charset w:val="86"/>
    <w:family w:val="auto"/>
    <w:notTrueType/>
    <w:pitch w:val="default"/>
    <w:sig w:usb0="00000001" w:usb1="080E0000" w:usb2="00000010" w:usb3="00000000" w:csb0="00040000" w:csb1="00000000"/>
  </w:font>
  <w:font w:name="ArialNarrow">
    <w:altName w:val="等线"/>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ACA"/>
    <w:rsid w:val="00643ACA"/>
    <w:rsid w:val="006F296B"/>
    <w:rsid w:val="0098721D"/>
    <w:rsid w:val="00C372B7"/>
    <w:rsid w:val="00CA4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643ACA"/>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643ACA"/>
    <w:rPr>
      <w:rFonts w:ascii="Arial" w:eastAsia="Arial" w:hAnsi="Arial" w:cs="Arial"/>
      <w:b/>
      <w:bCs/>
      <w:sz w:val="20"/>
      <w:szCs w:val="20"/>
    </w:rPr>
  </w:style>
  <w:style w:type="paragraph" w:styleId="BodyText">
    <w:name w:val="Body Text"/>
    <w:basedOn w:val="Normal"/>
    <w:link w:val="BodyTextChar"/>
    <w:uiPriority w:val="1"/>
    <w:qFormat/>
    <w:rsid w:val="00643ACA"/>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43ACA"/>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643A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A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643ACA"/>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643ACA"/>
    <w:rPr>
      <w:rFonts w:ascii="Arial" w:eastAsia="Arial" w:hAnsi="Arial" w:cs="Arial"/>
      <w:b/>
      <w:bCs/>
      <w:sz w:val="20"/>
      <w:szCs w:val="20"/>
    </w:rPr>
  </w:style>
  <w:style w:type="paragraph" w:styleId="BodyText">
    <w:name w:val="Body Text"/>
    <w:basedOn w:val="Normal"/>
    <w:link w:val="BodyTextChar"/>
    <w:uiPriority w:val="1"/>
    <w:qFormat/>
    <w:rsid w:val="00643ACA"/>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43ACA"/>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643A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A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Vascular Dementia</cp:lastModifiedBy>
  <cp:revision>2</cp:revision>
  <dcterms:created xsi:type="dcterms:W3CDTF">2023-02-28T09:16:00Z</dcterms:created>
  <dcterms:modified xsi:type="dcterms:W3CDTF">2023-02-28T09:16:00Z</dcterms:modified>
</cp:coreProperties>
</file>