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5BEA2" w14:textId="01DD0745" w:rsidR="00AE3E37" w:rsidRDefault="004639DF" w:rsidP="00494130">
      <w:pPr>
        <w:pStyle w:val="Heading1"/>
        <w:spacing w:before="170"/>
        <w:ind w:left="0"/>
      </w:pPr>
      <w:bookmarkStart w:id="0" w:name="_GoBack"/>
      <w:bookmarkEnd w:id="0"/>
      <w:r>
        <w:rPr>
          <w:color w:val="337AB7"/>
        </w:rPr>
        <w:t xml:space="preserve">Pfeiffer Syndrome. </w:t>
      </w:r>
      <w:r w:rsidRPr="004639DF">
        <w:rPr>
          <w:color w:val="337AB7"/>
        </w:rPr>
        <w:t>A middle face distraction treatment by a modified Lefort III technique.</w:t>
      </w:r>
    </w:p>
    <w:p w14:paraId="09D9F027" w14:textId="44E407C3" w:rsidR="00214860" w:rsidRDefault="00214860" w:rsidP="005973B9">
      <w:pPr>
        <w:pStyle w:val="BodyText"/>
        <w:spacing w:before="73" w:line="198" w:lineRule="exact"/>
        <w:ind w:left="100" w:right="5987"/>
        <w:rPr>
          <w:rFonts w:ascii="Arial"/>
          <w:lang w:val="es-EC"/>
        </w:rPr>
      </w:pPr>
      <w:r>
        <w:rPr>
          <w:rFonts w:ascii="Arial"/>
          <w:lang w:val="es-EC"/>
        </w:rPr>
        <w:t>Dr. Andres Salazar, DDS, Maxillofacial Surgeon. Colombia.</w:t>
      </w:r>
    </w:p>
    <w:p w14:paraId="6DC4509B" w14:textId="7B0AA40B" w:rsidR="00214860" w:rsidRPr="00214860" w:rsidRDefault="00754BE9" w:rsidP="005973B9">
      <w:pPr>
        <w:pStyle w:val="BodyText"/>
        <w:spacing w:before="73" w:line="198" w:lineRule="exact"/>
        <w:ind w:left="100" w:right="5987"/>
        <w:rPr>
          <w:rFonts w:ascii="Arial"/>
        </w:rPr>
      </w:pPr>
      <w:r w:rsidRPr="00214860">
        <w:rPr>
          <w:rFonts w:ascii="Arial"/>
          <w:lang w:val="es-EC"/>
        </w:rPr>
        <w:t>Dr. Andres Duque, DDS</w:t>
      </w:r>
      <w:r w:rsidR="00214860" w:rsidRPr="00214860">
        <w:rPr>
          <w:rFonts w:ascii="Arial"/>
          <w:lang w:val="es-EC"/>
        </w:rPr>
        <w:t xml:space="preserve">, </w:t>
      </w:r>
      <w:r w:rsidR="00214860">
        <w:rPr>
          <w:rFonts w:ascii="Arial"/>
          <w:lang w:val="es-EC"/>
        </w:rPr>
        <w:t>Craneom</w:t>
      </w:r>
      <w:r w:rsidR="00214860" w:rsidRPr="00214860">
        <w:rPr>
          <w:rFonts w:ascii="Arial"/>
          <w:lang w:val="es-EC"/>
        </w:rPr>
        <w:t xml:space="preserve">axillofacial Surgeon. </w:t>
      </w:r>
      <w:r w:rsidR="00214860" w:rsidRPr="00214860">
        <w:rPr>
          <w:rFonts w:ascii="Arial"/>
        </w:rPr>
        <w:t>Colombia</w:t>
      </w:r>
      <w:r w:rsidR="00214860">
        <w:rPr>
          <w:rFonts w:ascii="Arial"/>
        </w:rPr>
        <w:t>.</w:t>
      </w:r>
    </w:p>
    <w:p w14:paraId="5DBE6D9B" w14:textId="4C647E2D" w:rsidR="00214860" w:rsidRDefault="00214860" w:rsidP="00214860">
      <w:pPr>
        <w:pStyle w:val="BodyText"/>
        <w:spacing w:before="73" w:line="198" w:lineRule="exact"/>
        <w:ind w:left="100" w:right="5987"/>
        <w:rPr>
          <w:rFonts w:ascii="Arial"/>
        </w:rPr>
      </w:pPr>
      <w:r w:rsidRPr="00214860">
        <w:rPr>
          <w:rFonts w:ascii="Arial"/>
        </w:rPr>
        <w:t>Dr.</w:t>
      </w:r>
      <w:r>
        <w:rPr>
          <w:rFonts w:ascii="Arial"/>
        </w:rPr>
        <w:t xml:space="preserve"> Jaime Jimenez, DDS, Maxillofacial Surgeon. Colombia.</w:t>
      </w:r>
    </w:p>
    <w:p w14:paraId="07415489" w14:textId="77777777" w:rsidR="00AE3E37" w:rsidRDefault="00AE3E37">
      <w:pPr>
        <w:pStyle w:val="BodyText"/>
        <w:rPr>
          <w:rFonts w:ascii="Arial"/>
          <w:sz w:val="20"/>
        </w:rPr>
      </w:pPr>
    </w:p>
    <w:p w14:paraId="7054B235"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7C457C0F" w14:textId="534403C8" w:rsidR="00AE3E37" w:rsidRDefault="00A9710C">
      <w:pPr>
        <w:pStyle w:val="Heading3"/>
        <w:spacing w:before="147"/>
        <w:jc w:val="both"/>
      </w:pPr>
      <w:r>
        <w:rPr>
          <w:color w:val="BF5A14"/>
        </w:rPr>
        <w:lastRenderedPageBreak/>
        <w:t>Abstract</w:t>
      </w:r>
      <w:r w:rsidR="00404E5B">
        <w:rPr>
          <w:color w:val="BF5A14"/>
        </w:rPr>
        <w:t xml:space="preserve"> </w:t>
      </w:r>
    </w:p>
    <w:p w14:paraId="3DC9853A" w14:textId="77777777" w:rsidR="00754BE9" w:rsidRPr="00754BE9" w:rsidRDefault="00754BE9" w:rsidP="004639DF">
      <w:pPr>
        <w:pStyle w:val="Heading3"/>
        <w:spacing w:before="74"/>
        <w:jc w:val="both"/>
        <w:rPr>
          <w:rFonts w:ascii="Tw Cen MT" w:eastAsia="Tw Cen MT" w:hAnsi="Tw Cen MT" w:cs="Tw Cen MT"/>
          <w:b w:val="0"/>
          <w:bCs w:val="0"/>
          <w:sz w:val="18"/>
          <w:szCs w:val="18"/>
        </w:rPr>
      </w:pPr>
      <w:r w:rsidRPr="00754BE9">
        <w:rPr>
          <w:rFonts w:ascii="Tw Cen MT" w:eastAsia="Tw Cen MT" w:hAnsi="Tw Cen MT" w:cs="Tw Cen MT"/>
          <w:b w:val="0"/>
          <w:bCs w:val="0"/>
          <w:sz w:val="18"/>
          <w:szCs w:val="18"/>
        </w:rPr>
        <w:t xml:space="preserve">Pfeiffer syndrome. Discovered by Arthur Pfeiffer in 1964, with a prevalence of 1:100,000. It is characterized by the clinical presentation of craniosynostosis, hypoplasia of the middle third of the face, syndactyly of the hands and feet. It usually presents with a bilateral coronal synostosis associated with one or more sutures. The dysmorphic skull presents with a transverse magnification greater than anteroposterior, reflecting an enlarged frontal region, depressed midface with a small nose and low nasal bridge with moderate to severe ocular </w:t>
      </w:r>
      <w:proofErr w:type="spellStart"/>
      <w:r w:rsidRPr="00754BE9">
        <w:rPr>
          <w:rFonts w:ascii="Tw Cen MT" w:eastAsia="Tw Cen MT" w:hAnsi="Tw Cen MT" w:cs="Tw Cen MT"/>
          <w:b w:val="0"/>
          <w:bCs w:val="0"/>
          <w:sz w:val="18"/>
          <w:szCs w:val="18"/>
        </w:rPr>
        <w:t>propotosis</w:t>
      </w:r>
      <w:proofErr w:type="spellEnd"/>
      <w:r w:rsidRPr="00754BE9">
        <w:rPr>
          <w:rFonts w:ascii="Tw Cen MT" w:eastAsia="Tw Cen MT" w:hAnsi="Tw Cen MT" w:cs="Tw Cen MT"/>
          <w:b w:val="0"/>
          <w:bCs w:val="0"/>
          <w:sz w:val="18"/>
          <w:szCs w:val="18"/>
        </w:rPr>
        <w:t xml:space="preserve"> with the presence of ocular hypertelorism. Cohen classified it in 1993 into 3 types: type I is a mild skeletal craniofacial disorder with normal neurological development; Type II is a </w:t>
      </w:r>
      <w:proofErr w:type="spellStart"/>
      <w:r w:rsidRPr="00754BE9">
        <w:rPr>
          <w:rFonts w:ascii="Tw Cen MT" w:eastAsia="Tw Cen MT" w:hAnsi="Tw Cen MT" w:cs="Tw Cen MT"/>
          <w:b w:val="0"/>
          <w:bCs w:val="0"/>
          <w:sz w:val="18"/>
          <w:szCs w:val="18"/>
        </w:rPr>
        <w:t>pansynostosis</w:t>
      </w:r>
      <w:proofErr w:type="spellEnd"/>
      <w:r w:rsidRPr="00754BE9">
        <w:rPr>
          <w:rFonts w:ascii="Tw Cen MT" w:eastAsia="Tw Cen MT" w:hAnsi="Tw Cen MT" w:cs="Tw Cen MT"/>
          <w:b w:val="0"/>
          <w:bCs w:val="0"/>
          <w:sz w:val="18"/>
          <w:szCs w:val="18"/>
        </w:rPr>
        <w:t xml:space="preserve">-type craniofacial disorder, with severe proptosis, skeletal abnormalities in stiff fingers and elbows, and limited delayed neurological development; Type III is the same as Type II without </w:t>
      </w:r>
      <w:proofErr w:type="spellStart"/>
      <w:r w:rsidRPr="00754BE9">
        <w:rPr>
          <w:rFonts w:ascii="Tw Cen MT" w:eastAsia="Tw Cen MT" w:hAnsi="Tw Cen MT" w:cs="Tw Cen MT"/>
          <w:b w:val="0"/>
          <w:bCs w:val="0"/>
          <w:sz w:val="18"/>
          <w:szCs w:val="18"/>
        </w:rPr>
        <w:t>pansynostosis</w:t>
      </w:r>
      <w:proofErr w:type="spellEnd"/>
      <w:r w:rsidRPr="00754BE9">
        <w:rPr>
          <w:rFonts w:ascii="Tw Cen MT" w:eastAsia="Tw Cen MT" w:hAnsi="Tw Cen MT" w:cs="Tw Cen MT"/>
          <w:b w:val="0"/>
          <w:bCs w:val="0"/>
          <w:sz w:val="18"/>
          <w:szCs w:val="18"/>
        </w:rPr>
        <w:t>. Genetics is associated with the FGFR2 gene mutation in 95% of cases and is represented by types II and III, while the FGFR1 gene mutation is found in 5% represented by type I.</w:t>
      </w:r>
    </w:p>
    <w:p w14:paraId="7708CCC5" w14:textId="77777777" w:rsidR="00754BE9" w:rsidRPr="00754BE9" w:rsidRDefault="00754BE9" w:rsidP="004639DF">
      <w:pPr>
        <w:pStyle w:val="Heading3"/>
        <w:spacing w:before="74"/>
        <w:jc w:val="both"/>
        <w:rPr>
          <w:rFonts w:ascii="Tw Cen MT" w:eastAsia="Tw Cen MT" w:hAnsi="Tw Cen MT" w:cs="Tw Cen MT"/>
          <w:b w:val="0"/>
          <w:bCs w:val="0"/>
          <w:sz w:val="18"/>
          <w:szCs w:val="18"/>
        </w:rPr>
      </w:pPr>
      <w:r w:rsidRPr="00754BE9">
        <w:rPr>
          <w:rFonts w:ascii="Tw Cen MT" w:eastAsia="Tw Cen MT" w:hAnsi="Tw Cen MT" w:cs="Tw Cen MT"/>
          <w:b w:val="0"/>
          <w:bCs w:val="0"/>
          <w:sz w:val="18"/>
          <w:szCs w:val="18"/>
        </w:rPr>
        <w:t>The treatment of these patients is the correction of the present signs and symptoms, for which initially the cranial correction of the synostoses is performed by means of cranioplasty at one year of life, followed by distraction or craniofacial advances at 6 to 8 years of life, later management of sequelae in facial projection, especially in nasal management. The emphasis on ocular proptosis is important since surgical treatment is focused on reconstructing the orbital continent.</w:t>
      </w:r>
    </w:p>
    <w:p w14:paraId="144CACA1" w14:textId="75E60253" w:rsidR="00AE3E37" w:rsidRDefault="00214860" w:rsidP="004639DF">
      <w:pPr>
        <w:pStyle w:val="Heading3"/>
        <w:spacing w:before="74"/>
        <w:jc w:val="both"/>
        <w:rPr>
          <w:color w:val="BF5A14"/>
        </w:rPr>
      </w:pPr>
      <w:r>
        <w:rPr>
          <w:noProof/>
          <w:color w:val="BF5A14"/>
          <w:lang w:val="en-IN" w:eastAsia="en-IN"/>
        </w:rPr>
        <w:drawing>
          <wp:anchor distT="0" distB="0" distL="114300" distR="114300" simplePos="0" relativeHeight="251657216" behindDoc="0" locked="0" layoutInCell="1" allowOverlap="1" wp14:anchorId="73F55E85" wp14:editId="7DD9EFF7">
            <wp:simplePos x="0" y="0"/>
            <wp:positionH relativeFrom="column">
              <wp:posOffset>141402</wp:posOffset>
            </wp:positionH>
            <wp:positionV relativeFrom="paragraph">
              <wp:posOffset>1530350</wp:posOffset>
            </wp:positionV>
            <wp:extent cx="1082040" cy="1127125"/>
            <wp:effectExtent l="0" t="0" r="0" b="317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9" cstate="print">
                      <a:extLst>
                        <a:ext uri="{28A0092B-C50C-407E-A947-70E740481C1C}">
                          <a14:useLocalDpi xmlns:a14="http://schemas.microsoft.com/office/drawing/2010/main" val="0"/>
                        </a:ext>
                      </a:extLst>
                    </a:blip>
                    <a:srcRect t="37836" r="41948" b="16797"/>
                    <a:stretch/>
                  </pic:blipFill>
                  <pic:spPr bwMode="auto">
                    <a:xfrm>
                      <a:off x="0" y="0"/>
                      <a:ext cx="1082040" cy="1127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4BE9" w:rsidRPr="00754BE9">
        <w:rPr>
          <w:rFonts w:ascii="Tw Cen MT" w:eastAsia="Tw Cen MT" w:hAnsi="Tw Cen MT" w:cs="Tw Cen MT"/>
          <w:b w:val="0"/>
          <w:bCs w:val="0"/>
          <w:sz w:val="18"/>
          <w:szCs w:val="18"/>
        </w:rPr>
        <w:t xml:space="preserve">Treatment is always multidisciplinary, involving neurosurgery, </w:t>
      </w:r>
      <w:proofErr w:type="spellStart"/>
      <w:r w:rsidR="00754BE9" w:rsidRPr="00754BE9">
        <w:rPr>
          <w:rFonts w:ascii="Tw Cen MT" w:eastAsia="Tw Cen MT" w:hAnsi="Tw Cen MT" w:cs="Tw Cen MT"/>
          <w:b w:val="0"/>
          <w:bCs w:val="0"/>
          <w:sz w:val="18"/>
          <w:szCs w:val="18"/>
        </w:rPr>
        <w:t>craniomaxillofacial</w:t>
      </w:r>
      <w:proofErr w:type="spellEnd"/>
      <w:r w:rsidR="00754BE9" w:rsidRPr="00754BE9">
        <w:rPr>
          <w:rFonts w:ascii="Tw Cen MT" w:eastAsia="Tw Cen MT" w:hAnsi="Tw Cen MT" w:cs="Tw Cen MT"/>
          <w:b w:val="0"/>
          <w:bCs w:val="0"/>
          <w:sz w:val="18"/>
          <w:szCs w:val="18"/>
        </w:rPr>
        <w:t xml:space="preserve"> surgery, otorhinolaryngology, </w:t>
      </w:r>
      <w:proofErr w:type="spellStart"/>
      <w:r w:rsidR="00754BE9" w:rsidRPr="00754BE9">
        <w:rPr>
          <w:rFonts w:ascii="Tw Cen MT" w:eastAsia="Tw Cen MT" w:hAnsi="Tw Cen MT" w:cs="Tw Cen MT"/>
          <w:b w:val="0"/>
          <w:bCs w:val="0"/>
          <w:sz w:val="18"/>
          <w:szCs w:val="18"/>
        </w:rPr>
        <w:t>oculoplasty</w:t>
      </w:r>
      <w:proofErr w:type="spellEnd"/>
      <w:r w:rsidR="00754BE9" w:rsidRPr="00754BE9">
        <w:rPr>
          <w:rFonts w:ascii="Tw Cen MT" w:eastAsia="Tw Cen MT" w:hAnsi="Tw Cen MT" w:cs="Tw Cen MT"/>
          <w:b w:val="0"/>
          <w:bCs w:val="0"/>
          <w:sz w:val="18"/>
          <w:szCs w:val="18"/>
        </w:rPr>
        <w:t>, internal medicine.</w:t>
      </w:r>
      <w:r w:rsidR="00A9710C">
        <w:rPr>
          <w:b w:val="0"/>
        </w:rPr>
        <w:br w:type="column"/>
      </w:r>
      <w:r w:rsidR="00A9710C">
        <w:rPr>
          <w:color w:val="BF5A14"/>
        </w:rPr>
        <w:lastRenderedPageBreak/>
        <w:t>Image</w:t>
      </w:r>
    </w:p>
    <w:p w14:paraId="0C9FF032" w14:textId="77777777" w:rsidR="00754BE9" w:rsidRDefault="00754BE9" w:rsidP="00754BE9">
      <w:pPr>
        <w:pStyle w:val="Heading3"/>
        <w:spacing w:before="74"/>
      </w:pPr>
    </w:p>
    <w:p w14:paraId="5C8747CC" w14:textId="524E4E9B" w:rsidR="00AE3E37" w:rsidRDefault="00754BE9">
      <w:pPr>
        <w:pStyle w:val="BodyText"/>
        <w:spacing w:before="2"/>
        <w:rPr>
          <w:rFonts w:ascii="Arial"/>
          <w:b/>
          <w:sz w:val="16"/>
        </w:rPr>
      </w:pPr>
      <w:r w:rsidRPr="00754BE9">
        <w:rPr>
          <w:rFonts w:ascii="Arial"/>
          <w:b/>
          <w:noProof/>
          <w:sz w:val="16"/>
          <w:lang w:val="en-IN" w:eastAsia="en-IN"/>
        </w:rPr>
        <w:drawing>
          <wp:inline distT="0" distB="0" distL="0" distR="0" wp14:anchorId="212A5EFC" wp14:editId="22583855">
            <wp:extent cx="2451370" cy="1838650"/>
            <wp:effectExtent l="0" t="0" r="0" b="3175"/>
            <wp:docPr id="6" name="Imagen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2A666B2-D566-2C8F-577E-148F160BE1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2A666B2-D566-2C8F-577E-148F160BE1D3}"/>
                        </a:ext>
                      </a:extLst>
                    </pic:cNvPr>
                    <pic:cNvPicPr>
                      <a:picLocks noChangeAspect="1"/>
                    </pic:cNvPicPr>
                  </pic:nvPicPr>
                  <pic:blipFill>
                    <a:blip r:embed="rId10"/>
                    <a:stretch>
                      <a:fillRect/>
                    </a:stretch>
                  </pic:blipFill>
                  <pic:spPr>
                    <a:xfrm>
                      <a:off x="0" y="0"/>
                      <a:ext cx="2456203" cy="1842275"/>
                    </a:xfrm>
                    <a:prstGeom prst="rect">
                      <a:avLst/>
                    </a:prstGeom>
                  </pic:spPr>
                </pic:pic>
              </a:graphicData>
            </a:graphic>
          </wp:inline>
        </w:drawing>
      </w:r>
    </w:p>
    <w:p w14:paraId="4CDA3680" w14:textId="6C26C9D4" w:rsidR="005973B9" w:rsidRDefault="005973B9" w:rsidP="005973B9">
      <w:pPr>
        <w:spacing w:line="204" w:lineRule="exact"/>
        <w:rPr>
          <w:rFonts w:ascii="Arial"/>
          <w:b/>
          <w:sz w:val="20"/>
        </w:rPr>
      </w:pPr>
      <w:r>
        <w:rPr>
          <w:rFonts w:ascii="Arial"/>
          <w:b/>
          <w:color w:val="BF5A14"/>
          <w:sz w:val="20"/>
        </w:rPr>
        <w:br/>
        <w:t>Publications</w:t>
      </w:r>
    </w:p>
    <w:p w14:paraId="2CA850FA" w14:textId="71F94E65" w:rsidR="00754BE9" w:rsidRPr="00754BE9" w:rsidRDefault="00754BE9" w:rsidP="00754BE9">
      <w:pPr>
        <w:tabs>
          <w:tab w:val="left" w:pos="384"/>
        </w:tabs>
        <w:ind w:right="117"/>
        <w:rPr>
          <w:rFonts w:ascii="Calibri" w:eastAsia="Calibri" w:hAnsi="Calibri" w:cs="Calibri"/>
          <w:sz w:val="18"/>
        </w:rPr>
      </w:pPr>
      <w:r w:rsidRPr="00754BE9">
        <w:rPr>
          <w:rFonts w:ascii="Calibri" w:eastAsia="Calibri" w:hAnsi="Calibri" w:cs="Calibri"/>
          <w:sz w:val="18"/>
        </w:rPr>
        <w:t>1.</w:t>
      </w:r>
      <w:r>
        <w:rPr>
          <w:rFonts w:ascii="Calibri" w:eastAsia="Calibri" w:hAnsi="Calibri" w:cs="Calibri"/>
          <w:sz w:val="18"/>
        </w:rPr>
        <w:t xml:space="preserve"> </w:t>
      </w:r>
      <w:r w:rsidRPr="00754BE9">
        <w:rPr>
          <w:rFonts w:ascii="Calibri" w:eastAsia="Calibri" w:hAnsi="Calibri" w:cs="Calibri"/>
          <w:sz w:val="18"/>
        </w:rPr>
        <w:t>Dr.</w:t>
      </w:r>
      <w:r>
        <w:rPr>
          <w:rFonts w:ascii="Calibri" w:eastAsia="Calibri" w:hAnsi="Calibri" w:cs="Calibri"/>
          <w:sz w:val="18"/>
        </w:rPr>
        <w:t xml:space="preserve"> </w:t>
      </w:r>
      <w:proofErr w:type="spellStart"/>
      <w:r w:rsidRPr="00754BE9">
        <w:rPr>
          <w:rFonts w:ascii="Calibri" w:eastAsia="Calibri" w:hAnsi="Calibri" w:cs="Calibri"/>
          <w:sz w:val="18"/>
        </w:rPr>
        <w:t>Nitesh</w:t>
      </w:r>
      <w:proofErr w:type="spellEnd"/>
      <w:r>
        <w:rPr>
          <w:rFonts w:ascii="Calibri" w:eastAsia="Calibri" w:hAnsi="Calibri" w:cs="Calibri"/>
          <w:sz w:val="18"/>
        </w:rPr>
        <w:t xml:space="preserve"> </w:t>
      </w:r>
      <w:proofErr w:type="spellStart"/>
      <w:r w:rsidRPr="00754BE9">
        <w:rPr>
          <w:rFonts w:ascii="Calibri" w:eastAsia="Calibri" w:hAnsi="Calibri" w:cs="Calibri"/>
          <w:sz w:val="18"/>
        </w:rPr>
        <w:t>Chhikara</w:t>
      </w:r>
      <w:proofErr w:type="spellEnd"/>
      <w:r w:rsidRPr="00754BE9">
        <w:rPr>
          <w:rFonts w:ascii="Calibri" w:eastAsia="Calibri" w:hAnsi="Calibri" w:cs="Calibri"/>
          <w:sz w:val="18"/>
        </w:rPr>
        <w:t>,</w:t>
      </w:r>
      <w:r>
        <w:rPr>
          <w:rFonts w:ascii="Calibri" w:eastAsia="Calibri" w:hAnsi="Calibri" w:cs="Calibri"/>
          <w:sz w:val="18"/>
        </w:rPr>
        <w:t xml:space="preserve"> </w:t>
      </w:r>
      <w:r w:rsidRPr="00754BE9">
        <w:rPr>
          <w:rFonts w:ascii="Calibri" w:eastAsia="Calibri" w:hAnsi="Calibri" w:cs="Calibri"/>
          <w:sz w:val="18"/>
        </w:rPr>
        <w:t>Dr.</w:t>
      </w:r>
      <w:r>
        <w:rPr>
          <w:rFonts w:ascii="Calibri" w:eastAsia="Calibri" w:hAnsi="Calibri" w:cs="Calibri"/>
          <w:sz w:val="18"/>
        </w:rPr>
        <w:t xml:space="preserve"> </w:t>
      </w:r>
      <w:r w:rsidRPr="00754BE9">
        <w:rPr>
          <w:rFonts w:ascii="Calibri" w:eastAsia="Calibri" w:hAnsi="Calibri" w:cs="Calibri"/>
          <w:sz w:val="18"/>
        </w:rPr>
        <w:t>Sarah</w:t>
      </w:r>
      <w:r>
        <w:rPr>
          <w:rFonts w:ascii="Calibri" w:eastAsia="Calibri" w:hAnsi="Calibri" w:cs="Calibri"/>
          <w:sz w:val="18"/>
        </w:rPr>
        <w:t xml:space="preserve"> </w:t>
      </w:r>
      <w:r w:rsidRPr="00754BE9">
        <w:rPr>
          <w:rFonts w:ascii="Calibri" w:eastAsia="Calibri" w:hAnsi="Calibri" w:cs="Calibri"/>
          <w:sz w:val="18"/>
        </w:rPr>
        <w:t>Shaik,</w:t>
      </w:r>
      <w:r>
        <w:rPr>
          <w:rFonts w:ascii="Calibri" w:eastAsia="Calibri" w:hAnsi="Calibri" w:cs="Calibri"/>
          <w:sz w:val="18"/>
        </w:rPr>
        <w:t xml:space="preserve"> </w:t>
      </w:r>
      <w:r w:rsidRPr="00754BE9">
        <w:rPr>
          <w:rFonts w:ascii="Calibri" w:eastAsia="Calibri" w:hAnsi="Calibri" w:cs="Calibri"/>
          <w:sz w:val="18"/>
        </w:rPr>
        <w:t>Dr.</w:t>
      </w:r>
      <w:r>
        <w:rPr>
          <w:rFonts w:ascii="Calibri" w:eastAsia="Calibri" w:hAnsi="Calibri" w:cs="Calibri"/>
          <w:sz w:val="18"/>
        </w:rPr>
        <w:t xml:space="preserve"> </w:t>
      </w:r>
      <w:proofErr w:type="spellStart"/>
      <w:r w:rsidRPr="00754BE9">
        <w:rPr>
          <w:rFonts w:ascii="Calibri" w:eastAsia="Calibri" w:hAnsi="Calibri" w:cs="Calibri"/>
          <w:sz w:val="18"/>
        </w:rPr>
        <w:t>Sauravbhargava</w:t>
      </w:r>
      <w:proofErr w:type="spellEnd"/>
      <w:r w:rsidRPr="00754BE9">
        <w:rPr>
          <w:rFonts w:ascii="Calibri" w:eastAsia="Calibri" w:hAnsi="Calibri" w:cs="Calibri"/>
          <w:sz w:val="18"/>
        </w:rPr>
        <w:t>.</w:t>
      </w:r>
      <w:r>
        <w:rPr>
          <w:rFonts w:ascii="Calibri" w:eastAsia="Calibri" w:hAnsi="Calibri" w:cs="Calibri"/>
          <w:sz w:val="18"/>
        </w:rPr>
        <w:t xml:space="preserve"> </w:t>
      </w:r>
      <w:r w:rsidRPr="00754BE9">
        <w:rPr>
          <w:rFonts w:ascii="Calibri" w:eastAsia="Calibri" w:hAnsi="Calibri" w:cs="Calibri"/>
          <w:sz w:val="18"/>
        </w:rPr>
        <w:t>Review</w:t>
      </w:r>
      <w:r>
        <w:rPr>
          <w:rFonts w:ascii="Calibri" w:eastAsia="Calibri" w:hAnsi="Calibri" w:cs="Calibri"/>
          <w:sz w:val="18"/>
        </w:rPr>
        <w:t xml:space="preserve"> </w:t>
      </w:r>
      <w:r w:rsidRPr="00754BE9">
        <w:rPr>
          <w:rFonts w:ascii="Calibri" w:eastAsia="Calibri" w:hAnsi="Calibri" w:cs="Calibri"/>
          <w:sz w:val="18"/>
        </w:rPr>
        <w:t>on</w:t>
      </w:r>
      <w:r>
        <w:rPr>
          <w:rFonts w:ascii="Calibri" w:eastAsia="Calibri" w:hAnsi="Calibri" w:cs="Calibri"/>
          <w:sz w:val="18"/>
        </w:rPr>
        <w:t xml:space="preserve"> </w:t>
      </w:r>
      <w:r w:rsidRPr="00754BE9">
        <w:rPr>
          <w:rFonts w:ascii="Calibri" w:eastAsia="Calibri" w:hAnsi="Calibri" w:cs="Calibri"/>
          <w:sz w:val="18"/>
        </w:rPr>
        <w:t>distraction</w:t>
      </w:r>
      <w:r>
        <w:rPr>
          <w:rFonts w:ascii="Calibri" w:eastAsia="Calibri" w:hAnsi="Calibri" w:cs="Calibri"/>
          <w:sz w:val="18"/>
        </w:rPr>
        <w:t xml:space="preserve"> </w:t>
      </w:r>
      <w:r w:rsidRPr="00754BE9">
        <w:rPr>
          <w:rFonts w:ascii="Calibri" w:eastAsia="Calibri" w:hAnsi="Calibri" w:cs="Calibri"/>
          <w:sz w:val="18"/>
        </w:rPr>
        <w:t>Osteogenesis:</w:t>
      </w:r>
      <w:r>
        <w:rPr>
          <w:rFonts w:ascii="Calibri" w:eastAsia="Calibri" w:hAnsi="Calibri" w:cs="Calibri"/>
          <w:sz w:val="18"/>
        </w:rPr>
        <w:t xml:space="preserve"> </w:t>
      </w:r>
      <w:r w:rsidRPr="00754BE9">
        <w:rPr>
          <w:rFonts w:ascii="Calibri" w:eastAsia="Calibri" w:hAnsi="Calibri" w:cs="Calibri"/>
          <w:sz w:val="18"/>
        </w:rPr>
        <w:t>A</w:t>
      </w:r>
      <w:r>
        <w:rPr>
          <w:rFonts w:ascii="Calibri" w:eastAsia="Calibri" w:hAnsi="Calibri" w:cs="Calibri"/>
          <w:sz w:val="18"/>
        </w:rPr>
        <w:t xml:space="preserve"> </w:t>
      </w:r>
      <w:r w:rsidRPr="00754BE9">
        <w:rPr>
          <w:rFonts w:ascii="Calibri" w:eastAsia="Calibri" w:hAnsi="Calibri" w:cs="Calibri"/>
          <w:sz w:val="18"/>
        </w:rPr>
        <w:t>boon</w:t>
      </w:r>
      <w:r>
        <w:rPr>
          <w:rFonts w:ascii="Calibri" w:eastAsia="Calibri" w:hAnsi="Calibri" w:cs="Calibri"/>
          <w:sz w:val="18"/>
        </w:rPr>
        <w:t xml:space="preserve"> </w:t>
      </w:r>
      <w:r w:rsidRPr="00754BE9">
        <w:rPr>
          <w:rFonts w:ascii="Calibri" w:eastAsia="Calibri" w:hAnsi="Calibri" w:cs="Calibri"/>
          <w:sz w:val="18"/>
        </w:rPr>
        <w:t>to</w:t>
      </w:r>
      <w:r>
        <w:rPr>
          <w:rFonts w:ascii="Calibri" w:eastAsia="Calibri" w:hAnsi="Calibri" w:cs="Calibri"/>
          <w:sz w:val="18"/>
        </w:rPr>
        <w:t xml:space="preserve"> </w:t>
      </w:r>
      <w:r w:rsidRPr="00754BE9">
        <w:rPr>
          <w:rFonts w:ascii="Calibri" w:eastAsia="Calibri" w:hAnsi="Calibri" w:cs="Calibri"/>
          <w:sz w:val="18"/>
        </w:rPr>
        <w:t>maxillofacial</w:t>
      </w:r>
      <w:r>
        <w:rPr>
          <w:rFonts w:ascii="Calibri" w:eastAsia="Calibri" w:hAnsi="Calibri" w:cs="Calibri"/>
          <w:sz w:val="18"/>
        </w:rPr>
        <w:t xml:space="preserve"> </w:t>
      </w:r>
      <w:r w:rsidRPr="00754BE9">
        <w:rPr>
          <w:rFonts w:ascii="Calibri" w:eastAsia="Calibri" w:hAnsi="Calibri" w:cs="Calibri"/>
          <w:sz w:val="18"/>
        </w:rPr>
        <w:t>reconstruction.</w:t>
      </w:r>
      <w:r>
        <w:rPr>
          <w:rFonts w:ascii="Calibri" w:eastAsia="Calibri" w:hAnsi="Calibri" w:cs="Calibri"/>
          <w:sz w:val="18"/>
        </w:rPr>
        <w:t xml:space="preserve"> </w:t>
      </w:r>
      <w:r w:rsidRPr="00754BE9">
        <w:rPr>
          <w:rFonts w:ascii="Calibri" w:eastAsia="Calibri" w:hAnsi="Calibri" w:cs="Calibri"/>
          <w:sz w:val="18"/>
        </w:rPr>
        <w:t>IntJApplDentSci2018;4(2):44-48.</w:t>
      </w:r>
    </w:p>
    <w:p w14:paraId="50375E09" w14:textId="0D3576A7" w:rsidR="00754BE9" w:rsidRPr="00754BE9" w:rsidRDefault="00754BE9" w:rsidP="00754BE9">
      <w:pPr>
        <w:tabs>
          <w:tab w:val="left" w:pos="384"/>
        </w:tabs>
        <w:ind w:right="117"/>
        <w:rPr>
          <w:rFonts w:ascii="Calibri" w:eastAsia="Calibri" w:hAnsi="Calibri" w:cs="Calibri"/>
          <w:sz w:val="18"/>
        </w:rPr>
      </w:pPr>
      <w:r w:rsidRPr="00754BE9">
        <w:rPr>
          <w:rFonts w:ascii="Calibri" w:eastAsia="Calibri" w:hAnsi="Calibri" w:cs="Calibri"/>
          <w:sz w:val="18"/>
        </w:rPr>
        <w:t xml:space="preserve">2. </w:t>
      </w:r>
      <w:proofErr w:type="spellStart"/>
      <w:r w:rsidRPr="00754BE9">
        <w:rPr>
          <w:rFonts w:ascii="Calibri" w:eastAsia="Calibri" w:hAnsi="Calibri" w:cs="Calibri"/>
          <w:sz w:val="18"/>
        </w:rPr>
        <w:t>Imola</w:t>
      </w:r>
      <w:proofErr w:type="spellEnd"/>
      <w:r>
        <w:rPr>
          <w:rFonts w:ascii="Calibri" w:eastAsia="Calibri" w:hAnsi="Calibri" w:cs="Calibri"/>
          <w:sz w:val="18"/>
        </w:rPr>
        <w:t xml:space="preserve"> </w:t>
      </w:r>
      <w:r w:rsidRPr="00754BE9">
        <w:rPr>
          <w:rFonts w:ascii="Calibri" w:eastAsia="Calibri" w:hAnsi="Calibri" w:cs="Calibri"/>
          <w:sz w:val="18"/>
        </w:rPr>
        <w:t>MJ,</w:t>
      </w:r>
      <w:r>
        <w:rPr>
          <w:rFonts w:ascii="Calibri" w:eastAsia="Calibri" w:hAnsi="Calibri" w:cs="Calibri"/>
          <w:sz w:val="18"/>
        </w:rPr>
        <w:t xml:space="preserve"> </w:t>
      </w:r>
      <w:r w:rsidRPr="00754BE9">
        <w:rPr>
          <w:rFonts w:ascii="Calibri" w:eastAsia="Calibri" w:hAnsi="Calibri" w:cs="Calibri"/>
          <w:sz w:val="18"/>
        </w:rPr>
        <w:t>Tatum</w:t>
      </w:r>
      <w:r>
        <w:rPr>
          <w:rFonts w:ascii="Calibri" w:eastAsia="Calibri" w:hAnsi="Calibri" w:cs="Calibri"/>
          <w:sz w:val="18"/>
        </w:rPr>
        <w:t xml:space="preserve"> </w:t>
      </w:r>
      <w:r w:rsidRPr="00754BE9">
        <w:rPr>
          <w:rFonts w:ascii="Calibri" w:eastAsia="Calibri" w:hAnsi="Calibri" w:cs="Calibri"/>
          <w:sz w:val="18"/>
        </w:rPr>
        <w:t>SA.</w:t>
      </w:r>
      <w:r>
        <w:rPr>
          <w:rFonts w:ascii="Calibri" w:eastAsia="Calibri" w:hAnsi="Calibri" w:cs="Calibri"/>
          <w:sz w:val="18"/>
        </w:rPr>
        <w:t xml:space="preserve"> </w:t>
      </w:r>
      <w:r w:rsidRPr="00754BE9">
        <w:rPr>
          <w:rFonts w:ascii="Calibri" w:eastAsia="Calibri" w:hAnsi="Calibri" w:cs="Calibri"/>
          <w:sz w:val="18"/>
        </w:rPr>
        <w:t>Craniofacial</w:t>
      </w:r>
      <w:r>
        <w:rPr>
          <w:rFonts w:ascii="Calibri" w:eastAsia="Calibri" w:hAnsi="Calibri" w:cs="Calibri"/>
          <w:sz w:val="18"/>
        </w:rPr>
        <w:t xml:space="preserve"> </w:t>
      </w:r>
      <w:r w:rsidRPr="00754BE9">
        <w:rPr>
          <w:rFonts w:ascii="Calibri" w:eastAsia="Calibri" w:hAnsi="Calibri" w:cs="Calibri"/>
          <w:sz w:val="18"/>
        </w:rPr>
        <w:t>distraction</w:t>
      </w:r>
      <w:r>
        <w:rPr>
          <w:rFonts w:ascii="Calibri" w:eastAsia="Calibri" w:hAnsi="Calibri" w:cs="Calibri"/>
          <w:sz w:val="18"/>
        </w:rPr>
        <w:t xml:space="preserve"> </w:t>
      </w:r>
      <w:r w:rsidRPr="00754BE9">
        <w:rPr>
          <w:rFonts w:ascii="Calibri" w:eastAsia="Calibri" w:hAnsi="Calibri" w:cs="Calibri"/>
          <w:sz w:val="18"/>
        </w:rPr>
        <w:t>osteogenesis.</w:t>
      </w:r>
      <w:r>
        <w:rPr>
          <w:rFonts w:ascii="Calibri" w:eastAsia="Calibri" w:hAnsi="Calibri" w:cs="Calibri"/>
          <w:sz w:val="18"/>
        </w:rPr>
        <w:t xml:space="preserve"> </w:t>
      </w:r>
      <w:r w:rsidRPr="00754BE9">
        <w:rPr>
          <w:rFonts w:ascii="Calibri" w:eastAsia="Calibri" w:hAnsi="Calibri" w:cs="Calibri"/>
          <w:sz w:val="18"/>
        </w:rPr>
        <w:t xml:space="preserve">Facial </w:t>
      </w:r>
      <w:proofErr w:type="spellStart"/>
      <w:r w:rsidRPr="00754BE9">
        <w:rPr>
          <w:rFonts w:ascii="Calibri" w:eastAsia="Calibri" w:hAnsi="Calibri" w:cs="Calibri"/>
          <w:sz w:val="18"/>
        </w:rPr>
        <w:t>Plast</w:t>
      </w:r>
      <w:proofErr w:type="spellEnd"/>
      <w:r w:rsidRPr="00754BE9">
        <w:rPr>
          <w:rFonts w:ascii="Calibri" w:eastAsia="Calibri" w:hAnsi="Calibri" w:cs="Calibri"/>
          <w:sz w:val="18"/>
        </w:rPr>
        <w:t xml:space="preserve"> </w:t>
      </w:r>
      <w:proofErr w:type="spellStart"/>
      <w:r w:rsidRPr="00754BE9">
        <w:rPr>
          <w:rFonts w:ascii="Calibri" w:eastAsia="Calibri" w:hAnsi="Calibri" w:cs="Calibri"/>
          <w:sz w:val="18"/>
        </w:rPr>
        <w:t>Surg</w:t>
      </w:r>
      <w:proofErr w:type="spellEnd"/>
      <w:r w:rsidRPr="00754BE9">
        <w:rPr>
          <w:rFonts w:ascii="Calibri" w:eastAsia="Calibri" w:hAnsi="Calibri" w:cs="Calibri"/>
          <w:sz w:val="18"/>
        </w:rPr>
        <w:t xml:space="preserve"> </w:t>
      </w:r>
      <w:proofErr w:type="spellStart"/>
      <w:r w:rsidRPr="00754BE9">
        <w:rPr>
          <w:rFonts w:ascii="Calibri" w:eastAsia="Calibri" w:hAnsi="Calibri" w:cs="Calibri"/>
          <w:sz w:val="18"/>
        </w:rPr>
        <w:t>Clin</w:t>
      </w:r>
      <w:proofErr w:type="spellEnd"/>
      <w:r w:rsidRPr="00754BE9">
        <w:rPr>
          <w:rFonts w:ascii="Calibri" w:eastAsia="Calibri" w:hAnsi="Calibri" w:cs="Calibri"/>
          <w:sz w:val="18"/>
        </w:rPr>
        <w:t xml:space="preserve"> North Am. 2002Aug;10(3):287-301</w:t>
      </w:r>
    </w:p>
    <w:p w14:paraId="0B582455" w14:textId="77777777" w:rsidR="00754BE9" w:rsidRPr="00754BE9" w:rsidRDefault="00754BE9" w:rsidP="00754BE9">
      <w:pPr>
        <w:tabs>
          <w:tab w:val="left" w:pos="384"/>
        </w:tabs>
        <w:ind w:right="117"/>
        <w:rPr>
          <w:rFonts w:ascii="Calibri" w:eastAsia="Calibri" w:hAnsi="Calibri" w:cs="Calibri"/>
          <w:sz w:val="18"/>
          <w:lang w:val="es-EC"/>
        </w:rPr>
      </w:pPr>
      <w:r w:rsidRPr="00754BE9">
        <w:rPr>
          <w:rFonts w:ascii="Calibri" w:eastAsia="Calibri" w:hAnsi="Calibri" w:cs="Calibri"/>
          <w:sz w:val="18"/>
          <w:lang w:val="es-EC"/>
        </w:rPr>
        <w:t xml:space="preserve">3. Perez D, Ellis E 3rd, Vega OA. </w:t>
      </w:r>
      <w:r w:rsidRPr="00754BE9">
        <w:rPr>
          <w:rFonts w:ascii="Calibri" w:eastAsia="Calibri" w:hAnsi="Calibri" w:cs="Calibri"/>
          <w:sz w:val="18"/>
        </w:rPr>
        <w:t xml:space="preserve">Distraction osteogenesis for craniomaxillofacial problems. </w:t>
      </w:r>
      <w:r w:rsidRPr="00754BE9">
        <w:rPr>
          <w:rFonts w:ascii="Calibri" w:eastAsia="Calibri" w:hAnsi="Calibri" w:cs="Calibri"/>
          <w:sz w:val="18"/>
          <w:lang w:val="es-EC"/>
        </w:rPr>
        <w:t>Tex Dent J. 2011 Nov;128(11):1159-70</w:t>
      </w:r>
    </w:p>
    <w:p w14:paraId="2F87E490" w14:textId="1397A804" w:rsidR="00754BE9" w:rsidRPr="00754BE9" w:rsidRDefault="00754BE9" w:rsidP="00754BE9">
      <w:pPr>
        <w:tabs>
          <w:tab w:val="left" w:pos="384"/>
        </w:tabs>
        <w:ind w:right="117"/>
        <w:rPr>
          <w:rFonts w:ascii="Calibri" w:eastAsia="Calibri" w:hAnsi="Calibri" w:cs="Calibri"/>
          <w:sz w:val="18"/>
          <w:lang w:val="es-EC"/>
        </w:rPr>
      </w:pPr>
      <w:r w:rsidRPr="00754BE9">
        <w:rPr>
          <w:rFonts w:ascii="Calibri" w:eastAsia="Calibri" w:hAnsi="Calibri" w:cs="Calibri"/>
          <w:sz w:val="18"/>
          <w:lang w:val="es-EC"/>
        </w:rPr>
        <w:t>maxilofaciales.RevistaMédicaClínicaLasCondes,27(1),5–13.</w:t>
      </w:r>
    </w:p>
    <w:p w14:paraId="0B22BC65" w14:textId="4BFB6AF4" w:rsidR="00754BE9" w:rsidRPr="00754BE9" w:rsidRDefault="00754BE9" w:rsidP="00754BE9">
      <w:pPr>
        <w:tabs>
          <w:tab w:val="left" w:pos="384"/>
        </w:tabs>
        <w:ind w:right="117"/>
        <w:rPr>
          <w:rFonts w:ascii="Calibri" w:eastAsia="Calibri" w:hAnsi="Calibri" w:cs="Calibri"/>
          <w:sz w:val="18"/>
          <w:lang w:val="es-EC"/>
        </w:rPr>
      </w:pPr>
      <w:r w:rsidRPr="00754BE9">
        <w:rPr>
          <w:rFonts w:ascii="Calibri" w:eastAsia="Calibri" w:hAnsi="Calibri" w:cs="Calibri"/>
          <w:sz w:val="18"/>
          <w:lang w:val="es-EC"/>
        </w:rPr>
        <w:t>4. ErazoC.,</w:t>
      </w:r>
      <w:r>
        <w:rPr>
          <w:rFonts w:ascii="Calibri" w:eastAsia="Calibri" w:hAnsi="Calibri" w:cs="Calibri"/>
          <w:sz w:val="18"/>
          <w:lang w:val="es-EC"/>
        </w:rPr>
        <w:t xml:space="preserve"> </w:t>
      </w:r>
      <w:r w:rsidRPr="00754BE9">
        <w:rPr>
          <w:rFonts w:ascii="Calibri" w:eastAsia="Calibri" w:hAnsi="Calibri" w:cs="Calibri"/>
          <w:sz w:val="18"/>
          <w:lang w:val="es-EC"/>
        </w:rPr>
        <w:t>C.,</w:t>
      </w:r>
      <w:r>
        <w:rPr>
          <w:rFonts w:ascii="Calibri" w:eastAsia="Calibri" w:hAnsi="Calibri" w:cs="Calibri"/>
          <w:sz w:val="18"/>
          <w:lang w:val="es-EC"/>
        </w:rPr>
        <w:t xml:space="preserve"> </w:t>
      </w:r>
      <w:r w:rsidRPr="00754BE9">
        <w:rPr>
          <w:rFonts w:ascii="Calibri" w:eastAsia="Calibri" w:hAnsi="Calibri" w:cs="Calibri"/>
          <w:sz w:val="18"/>
          <w:lang w:val="es-EC"/>
        </w:rPr>
        <w:t>RíosV.,</w:t>
      </w:r>
      <w:r>
        <w:rPr>
          <w:rFonts w:ascii="Calibri" w:eastAsia="Calibri" w:hAnsi="Calibri" w:cs="Calibri"/>
          <w:sz w:val="18"/>
          <w:lang w:val="es-EC"/>
        </w:rPr>
        <w:t xml:space="preserve"> </w:t>
      </w:r>
      <w:r w:rsidRPr="00754BE9">
        <w:rPr>
          <w:rFonts w:ascii="Calibri" w:eastAsia="Calibri" w:hAnsi="Calibri" w:cs="Calibri"/>
          <w:sz w:val="18"/>
          <w:lang w:val="es-EC"/>
        </w:rPr>
        <w:t>M.,</w:t>
      </w:r>
      <w:r>
        <w:rPr>
          <w:rFonts w:ascii="Calibri" w:eastAsia="Calibri" w:hAnsi="Calibri" w:cs="Calibri"/>
          <w:sz w:val="18"/>
          <w:lang w:val="es-EC"/>
        </w:rPr>
        <w:t xml:space="preserve"> </w:t>
      </w:r>
      <w:r w:rsidRPr="00754BE9">
        <w:rPr>
          <w:rFonts w:ascii="Calibri" w:eastAsia="Calibri" w:hAnsi="Calibri" w:cs="Calibri"/>
          <w:sz w:val="18"/>
          <w:lang w:val="es-EC"/>
        </w:rPr>
        <w:t>TroncosoO.,</w:t>
      </w:r>
      <w:r>
        <w:rPr>
          <w:rFonts w:ascii="Calibri" w:eastAsia="Calibri" w:hAnsi="Calibri" w:cs="Calibri"/>
          <w:sz w:val="18"/>
          <w:lang w:val="es-EC"/>
        </w:rPr>
        <w:t xml:space="preserve"> </w:t>
      </w:r>
      <w:r w:rsidRPr="00754BE9">
        <w:rPr>
          <w:rFonts w:ascii="Calibri" w:eastAsia="Calibri" w:hAnsi="Calibri" w:cs="Calibri"/>
          <w:sz w:val="18"/>
          <w:lang w:val="es-EC"/>
        </w:rPr>
        <w:t>E.,</w:t>
      </w:r>
      <w:r>
        <w:rPr>
          <w:rFonts w:ascii="Calibri" w:eastAsia="Calibri" w:hAnsi="Calibri" w:cs="Calibri"/>
          <w:sz w:val="18"/>
          <w:lang w:val="es-EC"/>
        </w:rPr>
        <w:t xml:space="preserve"> </w:t>
      </w:r>
      <w:r w:rsidRPr="00754BE9">
        <w:rPr>
          <w:rFonts w:ascii="Calibri" w:eastAsia="Calibri" w:hAnsi="Calibri" w:cs="Calibri"/>
          <w:sz w:val="18"/>
          <w:lang w:val="es-EC"/>
        </w:rPr>
        <w:t>&amp;</w:t>
      </w:r>
      <w:r>
        <w:rPr>
          <w:rFonts w:ascii="Calibri" w:eastAsia="Calibri" w:hAnsi="Calibri" w:cs="Calibri"/>
          <w:sz w:val="18"/>
          <w:lang w:val="es-EC"/>
        </w:rPr>
        <w:t xml:space="preserve"> </w:t>
      </w:r>
      <w:r w:rsidRPr="00754BE9">
        <w:rPr>
          <w:rFonts w:ascii="Calibri" w:eastAsia="Calibri" w:hAnsi="Calibri" w:cs="Calibri"/>
          <w:sz w:val="18"/>
          <w:lang w:val="es-EC"/>
        </w:rPr>
        <w:t>QuezadaR.,</w:t>
      </w:r>
      <w:r>
        <w:rPr>
          <w:rFonts w:ascii="Calibri" w:eastAsia="Calibri" w:hAnsi="Calibri" w:cs="Calibri"/>
          <w:sz w:val="18"/>
          <w:lang w:val="es-EC"/>
        </w:rPr>
        <w:t xml:space="preserve"> </w:t>
      </w:r>
      <w:r w:rsidRPr="00754BE9">
        <w:rPr>
          <w:rFonts w:ascii="Calibri" w:eastAsia="Calibri" w:hAnsi="Calibri" w:cs="Calibri"/>
          <w:sz w:val="18"/>
          <w:lang w:val="es-EC"/>
        </w:rPr>
        <w:t>G.(2016).</w:t>
      </w:r>
      <w:r>
        <w:rPr>
          <w:rFonts w:ascii="Calibri" w:eastAsia="Calibri" w:hAnsi="Calibri" w:cs="Calibri"/>
          <w:sz w:val="18"/>
          <w:lang w:val="es-EC"/>
        </w:rPr>
        <w:t xml:space="preserve"> </w:t>
      </w:r>
      <w:r w:rsidRPr="00754BE9">
        <w:rPr>
          <w:rFonts w:ascii="Calibri" w:eastAsia="Calibri" w:hAnsi="Calibri" w:cs="Calibri"/>
          <w:sz w:val="18"/>
          <w:lang w:val="es-EC"/>
        </w:rPr>
        <w:t>Distracción</w:t>
      </w:r>
      <w:r>
        <w:rPr>
          <w:rFonts w:ascii="Calibri" w:eastAsia="Calibri" w:hAnsi="Calibri" w:cs="Calibri"/>
          <w:sz w:val="18"/>
          <w:lang w:val="es-EC"/>
        </w:rPr>
        <w:t xml:space="preserve"> </w:t>
      </w:r>
      <w:r w:rsidRPr="00754BE9">
        <w:rPr>
          <w:rFonts w:ascii="Calibri" w:eastAsia="Calibri" w:hAnsi="Calibri" w:cs="Calibri"/>
          <w:sz w:val="18"/>
          <w:lang w:val="es-EC"/>
        </w:rPr>
        <w:t>posea</w:t>
      </w:r>
      <w:r>
        <w:rPr>
          <w:rFonts w:ascii="Calibri" w:eastAsia="Calibri" w:hAnsi="Calibri" w:cs="Calibri"/>
          <w:sz w:val="18"/>
          <w:lang w:val="es-EC"/>
        </w:rPr>
        <w:t xml:space="preserve"> </w:t>
      </w:r>
      <w:r w:rsidRPr="00754BE9">
        <w:rPr>
          <w:rFonts w:ascii="Calibri" w:eastAsia="Calibri" w:hAnsi="Calibri" w:cs="Calibri"/>
          <w:sz w:val="18"/>
          <w:lang w:val="es-EC"/>
        </w:rPr>
        <w:t>del</w:t>
      </w:r>
      <w:r>
        <w:rPr>
          <w:rFonts w:ascii="Calibri" w:eastAsia="Calibri" w:hAnsi="Calibri" w:cs="Calibri"/>
          <w:sz w:val="18"/>
          <w:lang w:val="es-EC"/>
        </w:rPr>
        <w:t xml:space="preserve"> </w:t>
      </w:r>
      <w:r w:rsidRPr="00754BE9">
        <w:rPr>
          <w:rFonts w:ascii="Calibri" w:eastAsia="Calibri" w:hAnsi="Calibri" w:cs="Calibri"/>
          <w:sz w:val="18"/>
          <w:lang w:val="es-EC"/>
        </w:rPr>
        <w:t>tercio</w:t>
      </w:r>
      <w:r>
        <w:rPr>
          <w:rFonts w:ascii="Calibri" w:eastAsia="Calibri" w:hAnsi="Calibri" w:cs="Calibri"/>
          <w:sz w:val="18"/>
          <w:lang w:val="es-EC"/>
        </w:rPr>
        <w:t xml:space="preserve"> </w:t>
      </w:r>
      <w:r w:rsidRPr="00754BE9">
        <w:rPr>
          <w:rFonts w:ascii="Calibri" w:eastAsia="Calibri" w:hAnsi="Calibri" w:cs="Calibri"/>
          <w:sz w:val="18"/>
          <w:lang w:val="es-EC"/>
        </w:rPr>
        <w:t>medio</w:t>
      </w:r>
      <w:r>
        <w:rPr>
          <w:rFonts w:ascii="Calibri" w:eastAsia="Calibri" w:hAnsi="Calibri" w:cs="Calibri"/>
          <w:sz w:val="18"/>
          <w:lang w:val="es-EC"/>
        </w:rPr>
        <w:t xml:space="preserve"> </w:t>
      </w:r>
      <w:r w:rsidRPr="00754BE9">
        <w:rPr>
          <w:rFonts w:ascii="Calibri" w:eastAsia="Calibri" w:hAnsi="Calibri" w:cs="Calibri"/>
          <w:sz w:val="18"/>
          <w:lang w:val="es-EC"/>
        </w:rPr>
        <w:t>facial</w:t>
      </w:r>
      <w:r>
        <w:rPr>
          <w:rFonts w:ascii="Calibri" w:eastAsia="Calibri" w:hAnsi="Calibri" w:cs="Calibri"/>
          <w:sz w:val="18"/>
          <w:lang w:val="es-EC"/>
        </w:rPr>
        <w:t xml:space="preserve"> </w:t>
      </w:r>
      <w:r w:rsidRPr="00754BE9">
        <w:rPr>
          <w:rFonts w:ascii="Calibri" w:eastAsia="Calibri" w:hAnsi="Calibri" w:cs="Calibri"/>
          <w:sz w:val="18"/>
          <w:lang w:val="es-EC"/>
        </w:rPr>
        <w:t>en</w:t>
      </w:r>
      <w:r>
        <w:rPr>
          <w:rFonts w:ascii="Calibri" w:eastAsia="Calibri" w:hAnsi="Calibri" w:cs="Calibri"/>
          <w:sz w:val="18"/>
          <w:lang w:val="es-EC"/>
        </w:rPr>
        <w:t xml:space="preserve"> </w:t>
      </w:r>
      <w:r w:rsidRPr="00754BE9">
        <w:rPr>
          <w:rFonts w:ascii="Calibri" w:eastAsia="Calibri" w:hAnsi="Calibri" w:cs="Calibri"/>
          <w:sz w:val="18"/>
          <w:lang w:val="es-EC"/>
        </w:rPr>
        <w:t>malformaciones</w:t>
      </w:r>
      <w:r>
        <w:rPr>
          <w:rFonts w:ascii="Calibri" w:eastAsia="Calibri" w:hAnsi="Calibri" w:cs="Calibri"/>
          <w:sz w:val="18"/>
          <w:lang w:val="es-EC"/>
        </w:rPr>
        <w:t xml:space="preserve"> </w:t>
      </w:r>
      <w:r w:rsidRPr="00754BE9">
        <w:rPr>
          <w:rFonts w:ascii="Calibri" w:eastAsia="Calibri" w:hAnsi="Calibri" w:cs="Calibri"/>
          <w:sz w:val="18"/>
          <w:lang w:val="es-EC"/>
        </w:rPr>
        <w:t xml:space="preserve">cráneo- </w:t>
      </w:r>
    </w:p>
    <w:p w14:paraId="4EA22FF4" w14:textId="77777777" w:rsidR="00754BE9" w:rsidRPr="00754BE9" w:rsidRDefault="00754BE9" w:rsidP="00754BE9">
      <w:pPr>
        <w:tabs>
          <w:tab w:val="left" w:pos="384"/>
        </w:tabs>
        <w:ind w:right="117"/>
        <w:rPr>
          <w:rFonts w:ascii="Calibri" w:eastAsia="Calibri" w:hAnsi="Calibri" w:cs="Calibri"/>
          <w:sz w:val="18"/>
        </w:rPr>
      </w:pPr>
      <w:r w:rsidRPr="00754BE9">
        <w:rPr>
          <w:rFonts w:ascii="Calibri" w:eastAsia="Calibri" w:hAnsi="Calibri" w:cs="Calibri"/>
          <w:sz w:val="18"/>
        </w:rPr>
        <w:t>5. Saunders, M. M., &amp; Lee, J. S. (2008). The Influence of Mechanical Environment on Bone Healing and Distraction Osteogenesis. Atlas of the Oral and Maxillofacial Surgery</w:t>
      </w:r>
    </w:p>
    <w:p w14:paraId="3F16857F" w14:textId="77777777" w:rsidR="00754BE9" w:rsidRPr="00754BE9" w:rsidRDefault="00754BE9" w:rsidP="00754BE9">
      <w:pPr>
        <w:tabs>
          <w:tab w:val="left" w:pos="384"/>
        </w:tabs>
        <w:ind w:right="117"/>
        <w:rPr>
          <w:rFonts w:ascii="Calibri" w:eastAsia="Calibri" w:hAnsi="Calibri" w:cs="Calibri"/>
          <w:sz w:val="18"/>
        </w:rPr>
      </w:pPr>
      <w:r w:rsidRPr="00754BE9">
        <w:rPr>
          <w:rFonts w:ascii="Calibri" w:eastAsia="Calibri" w:hAnsi="Calibri" w:cs="Calibri"/>
          <w:sz w:val="18"/>
        </w:rPr>
        <w:t>Clinics, 16(2), 147–158.</w:t>
      </w:r>
    </w:p>
    <w:p w14:paraId="5E0C3B84" w14:textId="77777777" w:rsidR="00754BE9" w:rsidRPr="00754BE9" w:rsidRDefault="00754BE9" w:rsidP="00754BE9">
      <w:pPr>
        <w:tabs>
          <w:tab w:val="left" w:pos="384"/>
        </w:tabs>
        <w:ind w:right="117"/>
        <w:rPr>
          <w:rFonts w:ascii="Calibri" w:eastAsia="Calibri" w:hAnsi="Calibri" w:cs="Calibri"/>
          <w:sz w:val="18"/>
        </w:rPr>
      </w:pPr>
      <w:r w:rsidRPr="00754BE9">
        <w:rPr>
          <w:rFonts w:ascii="Calibri" w:eastAsia="Calibri" w:hAnsi="Calibri" w:cs="Calibri"/>
          <w:sz w:val="18"/>
        </w:rPr>
        <w:t xml:space="preserve">6. McCarthy, J. G., Schreiber, J., Karp, N., Thorne, C. H., &amp; Grayson, B. H. (1992). Lengthening the human mandible by gradual distraction. </w:t>
      </w:r>
      <w:proofErr w:type="spellStart"/>
      <w:r w:rsidRPr="00754BE9">
        <w:rPr>
          <w:rFonts w:ascii="Calibri" w:eastAsia="Calibri" w:hAnsi="Calibri" w:cs="Calibri"/>
          <w:sz w:val="18"/>
        </w:rPr>
        <w:t>Plast</w:t>
      </w:r>
      <w:proofErr w:type="spellEnd"/>
      <w:r w:rsidRPr="00754BE9">
        <w:rPr>
          <w:rFonts w:ascii="Calibri" w:eastAsia="Calibri" w:hAnsi="Calibri" w:cs="Calibri"/>
          <w:sz w:val="18"/>
        </w:rPr>
        <w:t xml:space="preserve"> </w:t>
      </w:r>
      <w:proofErr w:type="spellStart"/>
      <w:r w:rsidRPr="00754BE9">
        <w:rPr>
          <w:rFonts w:ascii="Calibri" w:eastAsia="Calibri" w:hAnsi="Calibri" w:cs="Calibri"/>
          <w:sz w:val="18"/>
        </w:rPr>
        <w:t>reconstr</w:t>
      </w:r>
      <w:proofErr w:type="spellEnd"/>
      <w:r w:rsidRPr="00754BE9">
        <w:rPr>
          <w:rFonts w:ascii="Calibri" w:eastAsia="Calibri" w:hAnsi="Calibri" w:cs="Calibri"/>
          <w:sz w:val="18"/>
        </w:rPr>
        <w:t xml:space="preserve"> </w:t>
      </w:r>
      <w:proofErr w:type="spellStart"/>
      <w:r w:rsidRPr="00754BE9">
        <w:rPr>
          <w:rFonts w:ascii="Calibri" w:eastAsia="Calibri" w:hAnsi="Calibri" w:cs="Calibri"/>
          <w:sz w:val="18"/>
        </w:rPr>
        <w:t>surg</w:t>
      </w:r>
      <w:proofErr w:type="spellEnd"/>
      <w:r w:rsidRPr="00754BE9">
        <w:rPr>
          <w:rFonts w:ascii="Calibri" w:eastAsia="Calibri" w:hAnsi="Calibri" w:cs="Calibri"/>
          <w:sz w:val="18"/>
        </w:rPr>
        <w:t>, 89(1), 1-8.</w:t>
      </w:r>
    </w:p>
    <w:p w14:paraId="165423C0" w14:textId="77777777" w:rsidR="00754BE9" w:rsidRPr="00754BE9" w:rsidRDefault="00754BE9" w:rsidP="00754BE9">
      <w:pPr>
        <w:tabs>
          <w:tab w:val="left" w:pos="384"/>
        </w:tabs>
        <w:ind w:right="117"/>
        <w:rPr>
          <w:rFonts w:ascii="Calibri" w:eastAsia="Calibri" w:hAnsi="Calibri" w:cs="Calibri"/>
          <w:sz w:val="18"/>
        </w:rPr>
      </w:pPr>
      <w:r w:rsidRPr="00754BE9">
        <w:rPr>
          <w:rFonts w:ascii="Calibri" w:eastAsia="Calibri" w:hAnsi="Calibri" w:cs="Calibri"/>
          <w:sz w:val="18"/>
        </w:rPr>
        <w:t xml:space="preserve">7. </w:t>
      </w:r>
      <w:proofErr w:type="spellStart"/>
      <w:r w:rsidRPr="00754BE9">
        <w:rPr>
          <w:rFonts w:ascii="Calibri" w:eastAsia="Calibri" w:hAnsi="Calibri" w:cs="Calibri"/>
          <w:sz w:val="18"/>
        </w:rPr>
        <w:t>Polley</w:t>
      </w:r>
      <w:proofErr w:type="spellEnd"/>
      <w:r w:rsidRPr="00754BE9">
        <w:rPr>
          <w:rFonts w:ascii="Calibri" w:eastAsia="Calibri" w:hAnsi="Calibri" w:cs="Calibri"/>
          <w:sz w:val="18"/>
        </w:rPr>
        <w:t>, J. W., Figueroa, A. A., Charbel, F. T., Berkowitz, R., Reisberg, D., &amp; Cohen, M. (1995). Monobloc craniomaxillofacial distraction osteogenesis in a newborn with severe</w:t>
      </w:r>
    </w:p>
    <w:p w14:paraId="15CCA91A" w14:textId="205C46ED" w:rsidR="00AE3E37" w:rsidRPr="008756E6" w:rsidRDefault="00754BE9" w:rsidP="00754BE9">
      <w:pPr>
        <w:tabs>
          <w:tab w:val="left" w:pos="384"/>
        </w:tabs>
        <w:ind w:right="117"/>
      </w:pPr>
      <w:r w:rsidRPr="00754BE9">
        <w:rPr>
          <w:rFonts w:ascii="Calibri" w:eastAsia="Calibri" w:hAnsi="Calibri" w:cs="Calibri"/>
          <w:sz w:val="18"/>
        </w:rPr>
        <w:t>craniofacial synostosis: a preliminary report. The Journal of Craniofacial Surgery, 6(5), 421-423.</w:t>
      </w:r>
    </w:p>
    <w:p w14:paraId="677FF766" w14:textId="0F19BE87" w:rsidR="00AE3E37" w:rsidRDefault="004639DF">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noProof/>
          <w:lang w:val="en-IN" w:eastAsia="en-IN"/>
        </w:rPr>
        <w:drawing>
          <wp:anchor distT="0" distB="0" distL="114300" distR="114300" simplePos="0" relativeHeight="251664384" behindDoc="0" locked="0" layoutInCell="1" allowOverlap="1" wp14:anchorId="69C6EC27" wp14:editId="42716ADA">
            <wp:simplePos x="0" y="0"/>
            <wp:positionH relativeFrom="column">
              <wp:posOffset>2238726</wp:posOffset>
            </wp:positionH>
            <wp:positionV relativeFrom="paragraph">
              <wp:posOffset>61744</wp:posOffset>
            </wp:positionV>
            <wp:extent cx="797668" cy="606971"/>
            <wp:effectExtent l="0" t="0" r="2540" b="317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7668" cy="606971"/>
                    </a:xfrm>
                    <a:prstGeom prst="rect">
                      <a:avLst/>
                    </a:prstGeom>
                  </pic:spPr>
                </pic:pic>
              </a:graphicData>
            </a:graphic>
            <wp14:sizeRelH relativeFrom="page">
              <wp14:pctWidth>0</wp14:pctWidth>
            </wp14:sizeRelH>
            <wp14:sizeRelV relativeFrom="page">
              <wp14:pctHeight>0</wp14:pctHeight>
            </wp14:sizeRelV>
          </wp:anchor>
        </w:drawing>
      </w:r>
      <w:r w:rsidR="008756E6">
        <w:rPr>
          <w:rFonts w:ascii="Calibri" w:hAnsi="Calibri"/>
        </w:rPr>
        <w:t xml:space="preserve">   </w:t>
      </w:r>
    </w:p>
    <w:p w14:paraId="334303A9" w14:textId="295E6B60" w:rsidR="00AE3E37" w:rsidRDefault="00AE3E37">
      <w:pPr>
        <w:pStyle w:val="BodyText"/>
        <w:rPr>
          <w:rFonts w:ascii="Calibri"/>
          <w:sz w:val="20"/>
        </w:rPr>
      </w:pPr>
    </w:p>
    <w:p w14:paraId="2CF02AAF" w14:textId="0CF3E3C3"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780DFAB" wp14:editId="1506E0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C24E1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17494AFC" w14:textId="0C90C8BA" w:rsidR="00214860" w:rsidRDefault="008756E6" w:rsidP="00404E5B">
      <w:pPr>
        <w:spacing w:before="92"/>
        <w:ind w:right="4234"/>
        <w:rPr>
          <w:noProof/>
        </w:rPr>
      </w:pPr>
      <w:r>
        <w:rPr>
          <w:noProof/>
        </w:rPr>
        <w:t xml:space="preserve">              </w:t>
      </w:r>
    </w:p>
    <w:p w14:paraId="14A24F92" w14:textId="73B875D3" w:rsidR="00AE3E37" w:rsidRDefault="00A9710C" w:rsidP="004639DF">
      <w:pPr>
        <w:spacing w:before="92"/>
        <w:ind w:right="4234" w:firstLine="213"/>
        <w:rPr>
          <w:rFonts w:ascii="Arial"/>
        </w:rPr>
      </w:pPr>
      <w:r>
        <w:rPr>
          <w:rFonts w:ascii="Arial"/>
          <w:color w:val="BF5A14"/>
        </w:rPr>
        <w:t>Biography</w:t>
      </w:r>
      <w:r w:rsidR="00A52075" w:rsidRPr="00A52075">
        <w:rPr>
          <w:rFonts w:ascii="Times New Roman" w:hAnsi="Times New Roman" w:cs="Times New Roman"/>
          <w:sz w:val="24"/>
          <w:szCs w:val="24"/>
        </w:rPr>
        <w:t xml:space="preserve"> </w:t>
      </w:r>
    </w:p>
    <w:p w14:paraId="31D35F45" w14:textId="76DE88D5" w:rsidR="00AE3E37" w:rsidRDefault="00214860">
      <w:pPr>
        <w:spacing w:before="41" w:line="154" w:lineRule="exact"/>
        <w:ind w:left="213" w:right="231"/>
        <w:jc w:val="both"/>
        <w:rPr>
          <w:rFonts w:ascii="Arial"/>
          <w:sz w:val="14"/>
        </w:rPr>
      </w:pPr>
      <w:r>
        <w:rPr>
          <w:rFonts w:ascii="Arial"/>
          <w:sz w:val="14"/>
        </w:rPr>
        <w:t xml:space="preserve">Dr. Andres </w:t>
      </w:r>
      <w:proofErr w:type="gramStart"/>
      <w:r>
        <w:rPr>
          <w:rFonts w:ascii="Arial"/>
          <w:sz w:val="14"/>
        </w:rPr>
        <w:t>Salazar,</w:t>
      </w:r>
      <w:proofErr w:type="gramEnd"/>
      <w:r>
        <w:rPr>
          <w:rFonts w:ascii="Arial"/>
          <w:sz w:val="14"/>
        </w:rPr>
        <w:t xml:space="preserve"> is a new maxillofacial surgeon recently graduated from </w:t>
      </w:r>
      <w:proofErr w:type="spellStart"/>
      <w:r>
        <w:rPr>
          <w:rFonts w:ascii="Arial"/>
          <w:sz w:val="14"/>
        </w:rPr>
        <w:t>Pontificla</w:t>
      </w:r>
      <w:proofErr w:type="spellEnd"/>
      <w:r>
        <w:rPr>
          <w:rFonts w:ascii="Arial"/>
          <w:sz w:val="14"/>
        </w:rPr>
        <w:t xml:space="preserve"> </w:t>
      </w:r>
      <w:proofErr w:type="spellStart"/>
      <w:r>
        <w:rPr>
          <w:rFonts w:ascii="Arial"/>
          <w:sz w:val="14"/>
        </w:rPr>
        <w:t>Xaverian</w:t>
      </w:r>
      <w:proofErr w:type="spellEnd"/>
      <w:r>
        <w:rPr>
          <w:rFonts w:ascii="Arial"/>
          <w:sz w:val="14"/>
        </w:rPr>
        <w:t xml:space="preserve"> University located in Bogota, Colombia. His principles based on his career are to prevent, diagnose and treat all disease of the maxillofacial complex esqueletal and soft tissues with the unique goal that is to give back quality of life to his patients. This workshop about the Middle Face Distraction has been done when Dr. Andres S. was a resident of four year guided by their professors Dr. Andres Duque and Dr. Jaime Jimenez who authorized to Dr. Andres Salazar to be the speaker of their clinical case done together.</w:t>
      </w:r>
    </w:p>
    <w:p w14:paraId="14FA9BA2" w14:textId="062E35ED" w:rsidR="00AE3E37" w:rsidRDefault="00A9710C">
      <w:pPr>
        <w:spacing w:before="62"/>
        <w:ind w:left="4217" w:right="4235"/>
        <w:jc w:val="center"/>
        <w:rPr>
          <w:rFonts w:ascii="Arial"/>
          <w:sz w:val="14"/>
        </w:rPr>
      </w:pPr>
      <w:r>
        <w:rPr>
          <w:rFonts w:ascii="Arial"/>
          <w:sz w:val="14"/>
        </w:rPr>
        <w:t xml:space="preserve">Email: </w:t>
      </w:r>
      <w:hyperlink r:id="rId12" w:history="1">
        <w:r w:rsidR="00214860" w:rsidRPr="00163BC3">
          <w:rPr>
            <w:rStyle w:val="Hyperlink"/>
            <w:rFonts w:ascii="Arial"/>
            <w:sz w:val="14"/>
          </w:rPr>
          <w:t>andres_salazar_005@hotmail.com</w:t>
        </w:r>
      </w:hyperlink>
    </w:p>
    <w:p w14:paraId="6D3146D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90CF01C" wp14:editId="506424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73A90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16781175" w14:textId="77777777" w:rsidR="00AE3E37" w:rsidRDefault="00AE3E37">
      <w:pPr>
        <w:pStyle w:val="BodyText"/>
        <w:rPr>
          <w:rFonts w:ascii="Arial"/>
          <w:sz w:val="20"/>
        </w:rPr>
      </w:pPr>
    </w:p>
    <w:p w14:paraId="17427D83" w14:textId="77777777" w:rsidR="00AE3E37" w:rsidRDefault="00AE3E37">
      <w:pPr>
        <w:pStyle w:val="BodyText"/>
        <w:rPr>
          <w:rFonts w:ascii="Arial"/>
          <w:sz w:val="20"/>
        </w:rPr>
      </w:pPr>
    </w:p>
    <w:p w14:paraId="6CD5D36B" w14:textId="77777777" w:rsidR="00AE3E37" w:rsidRDefault="00AE3E37">
      <w:pPr>
        <w:pStyle w:val="BodyText"/>
        <w:spacing w:before="7"/>
        <w:rPr>
          <w:rFonts w:ascii="Arial"/>
          <w:sz w:val="29"/>
        </w:rPr>
      </w:pPr>
    </w:p>
    <w:p w14:paraId="7F0C3822" w14:textId="62FC8CC3" w:rsidR="00AE3E37" w:rsidRPr="004639DF" w:rsidRDefault="00A9710C" w:rsidP="004639DF">
      <w:pPr>
        <w:spacing w:before="39"/>
        <w:ind w:left="100"/>
        <w:rPr>
          <w:rFonts w:ascii="Minion Pro"/>
          <w:b/>
          <w:sz w:val="20"/>
        </w:rPr>
        <w:sectPr w:rsidR="00AE3E37" w:rsidRPr="004639DF" w:rsidSect="008E5477">
          <w:type w:val="continuous"/>
          <w:pgSz w:w="11910" w:h="16840"/>
          <w:pgMar w:top="995" w:right="600" w:bottom="840" w:left="620" w:header="720" w:footer="720" w:gutter="0"/>
          <w:cols w:space="720"/>
        </w:sectPr>
      </w:pPr>
      <w:r w:rsidRPr="00B21A57">
        <w:rPr>
          <w:rFonts w:ascii="Minion Pro"/>
          <w:b/>
          <w:sz w:val="20"/>
        </w:rPr>
        <w:t>Notes/Comments:</w:t>
      </w:r>
    </w:p>
    <w:p w14:paraId="12D26398" w14:textId="77777777" w:rsidR="00F046EA" w:rsidRPr="0013708E" w:rsidRDefault="00F046EA" w:rsidP="00F046EA">
      <w:pPr>
        <w:jc w:val="both"/>
        <w:rPr>
          <w:b/>
        </w:rPr>
      </w:pPr>
      <w:r w:rsidRPr="0013708E">
        <w:rPr>
          <w:b/>
        </w:rPr>
        <w:lastRenderedPageBreak/>
        <w:t xml:space="preserve">Presenting author details </w:t>
      </w:r>
    </w:p>
    <w:p w14:paraId="2C437FC8" w14:textId="3418FFF9" w:rsidR="00F046EA" w:rsidRPr="0013708E" w:rsidRDefault="00F046EA" w:rsidP="00F046EA">
      <w:pPr>
        <w:jc w:val="both"/>
      </w:pPr>
      <w:r w:rsidRPr="0013708E">
        <w:t xml:space="preserve">Full name: </w:t>
      </w:r>
      <w:r w:rsidR="004639DF">
        <w:t>ANDRES SANTIAGO SALAZAR FELIX</w:t>
      </w:r>
    </w:p>
    <w:p w14:paraId="3489F306" w14:textId="0A808DE2" w:rsidR="00F046EA" w:rsidRDefault="00F046EA" w:rsidP="00F046EA">
      <w:pPr>
        <w:jc w:val="both"/>
      </w:pPr>
      <w:r w:rsidRPr="0013708E">
        <w:t>Contact number:</w:t>
      </w:r>
      <w:r w:rsidR="004639DF">
        <w:t xml:space="preserve"> +57 314 877 1829</w:t>
      </w:r>
    </w:p>
    <w:p w14:paraId="2B3CFF14" w14:textId="5E8E8271" w:rsidR="00F046EA" w:rsidRPr="0013708E" w:rsidRDefault="00F046EA" w:rsidP="00F046EA">
      <w:pPr>
        <w:jc w:val="both"/>
      </w:pPr>
      <w:r>
        <w:t xml:space="preserve">Mail id: </w:t>
      </w:r>
      <w:r w:rsidR="004639DF">
        <w:t>andres_salazar_005@hotmail.com</w:t>
      </w:r>
    </w:p>
    <w:p w14:paraId="5E126A32" w14:textId="53A2AA15" w:rsidR="00AE3E37" w:rsidRDefault="00F046EA" w:rsidP="00017FD0">
      <w:pPr>
        <w:jc w:val="both"/>
        <w:rPr>
          <w:rFonts w:ascii="Minion Pro"/>
          <w:sz w:val="26"/>
        </w:rPr>
      </w:pPr>
      <w:r w:rsidRPr="0013708E">
        <w:t>Category: Oral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A04871" w14:textId="77777777" w:rsidR="007376E8" w:rsidRDefault="007376E8">
      <w:r>
        <w:separator/>
      </w:r>
    </w:p>
  </w:endnote>
  <w:endnote w:type="continuationSeparator" w:id="0">
    <w:p w14:paraId="294A5F33" w14:textId="77777777" w:rsidR="007376E8" w:rsidRDefault="0073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203E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61C7DF4" wp14:editId="2E18C39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EF9B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3F728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1C7DF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0D7EF9B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3F728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71482C7" wp14:editId="38E9B6A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9BD1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68E2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1482C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5EC9BD1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68E21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9100A03" wp14:editId="775D18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FE5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90B6B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100A0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3F7FE5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90B6B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A5FAD" w14:textId="77777777" w:rsidR="007376E8" w:rsidRDefault="007376E8">
      <w:r>
        <w:separator/>
      </w:r>
    </w:p>
  </w:footnote>
  <w:footnote w:type="continuationSeparator" w:id="0">
    <w:p w14:paraId="7E0DEDBE" w14:textId="77777777" w:rsidR="007376E8" w:rsidRDefault="007376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503E0"/>
    <w:rsid w:val="000E2911"/>
    <w:rsid w:val="001263DF"/>
    <w:rsid w:val="00214860"/>
    <w:rsid w:val="00292ED9"/>
    <w:rsid w:val="00351D9B"/>
    <w:rsid w:val="00380299"/>
    <w:rsid w:val="00404E5B"/>
    <w:rsid w:val="00414F7B"/>
    <w:rsid w:val="004355DC"/>
    <w:rsid w:val="004639DF"/>
    <w:rsid w:val="004749B4"/>
    <w:rsid w:val="00494130"/>
    <w:rsid w:val="004E3089"/>
    <w:rsid w:val="004F3523"/>
    <w:rsid w:val="005973B9"/>
    <w:rsid w:val="005B3A56"/>
    <w:rsid w:val="005D7742"/>
    <w:rsid w:val="006060CE"/>
    <w:rsid w:val="0061505C"/>
    <w:rsid w:val="0063497F"/>
    <w:rsid w:val="00714354"/>
    <w:rsid w:val="007376E8"/>
    <w:rsid w:val="00754BE9"/>
    <w:rsid w:val="00873DF0"/>
    <w:rsid w:val="008756E6"/>
    <w:rsid w:val="00897EC5"/>
    <w:rsid w:val="008C1B86"/>
    <w:rsid w:val="008E5477"/>
    <w:rsid w:val="00996BEE"/>
    <w:rsid w:val="009B2D44"/>
    <w:rsid w:val="00A07E82"/>
    <w:rsid w:val="00A52075"/>
    <w:rsid w:val="00A5775A"/>
    <w:rsid w:val="00A9710C"/>
    <w:rsid w:val="00AE3E37"/>
    <w:rsid w:val="00B21A57"/>
    <w:rsid w:val="00B94491"/>
    <w:rsid w:val="00C33602"/>
    <w:rsid w:val="00C56C74"/>
    <w:rsid w:val="00CD6F55"/>
    <w:rsid w:val="00CE0E21"/>
    <w:rsid w:val="00D337F6"/>
    <w:rsid w:val="00D465B0"/>
    <w:rsid w:val="00DE3104"/>
    <w:rsid w:val="00DE6170"/>
    <w:rsid w:val="00E30AAC"/>
    <w:rsid w:val="00E95D97"/>
    <w:rsid w:val="00EA32E1"/>
    <w:rsid w:val="00EA4B6D"/>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F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1486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14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ndres_salazar_005@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636</Words>
  <Characters>3627</Characters>
  <Application>Microsoft Office Word</Application>
  <DocSecurity>0</DocSecurity>
  <Lines>30</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2023-02-27T08:19:00Z</dcterms:created>
  <dcterms:modified xsi:type="dcterms:W3CDTF">2023-02-27T08:19:00Z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