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p>
    <w:p w:rsidR="00F8125F" w:rsidRDefault="00F8125F" w:rsidP="001F414A">
      <w:pPr>
        <w:jc w:val="both"/>
        <w:rPr>
          <w:sz w:val="22"/>
          <w:szCs w:val="22"/>
          <w:lang w:val="en-GB"/>
        </w:rPr>
      </w:pPr>
    </w:p>
    <w:p w:rsidR="00F8125F" w:rsidRDefault="00F8125F" w:rsidP="001F414A">
      <w:pPr>
        <w:jc w:val="both"/>
        <w:rPr>
          <w:sz w:val="22"/>
          <w:szCs w:val="22"/>
          <w:lang w:val="en-GB"/>
        </w:rPr>
      </w:pPr>
    </w:p>
    <w:p w:rsidR="00F8125F" w:rsidRDefault="00C97939" w:rsidP="00F8125F">
      <w:pPr>
        <w:jc w:val="right"/>
        <w:rPr>
          <w:sz w:val="22"/>
          <w:szCs w:val="22"/>
          <w:lang w:val="en-GB"/>
        </w:rPr>
      </w:pPr>
      <w:r>
        <w:rPr>
          <w:noProof/>
          <w:sz w:val="22"/>
          <w:szCs w:val="22"/>
          <w:lang w:val="en-IN" w:eastAsia="en-IN"/>
        </w:rPr>
        <w:drawing>
          <wp:inline distT="0" distB="0" distL="0" distR="0">
            <wp:extent cx="1657350" cy="2181225"/>
            <wp:effectExtent l="0" t="0" r="0" b="9525"/>
            <wp:docPr id="1" name="Picture 1" descr="331217977_196590652966472_539888288039239072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31217977_196590652966472_5398882880392390726_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57350" cy="2181225"/>
                    </a:xfrm>
                    <a:prstGeom prst="rect">
                      <a:avLst/>
                    </a:prstGeom>
                    <a:noFill/>
                    <a:ln>
                      <a:noFill/>
                    </a:ln>
                  </pic:spPr>
                </pic:pic>
              </a:graphicData>
            </a:graphic>
          </wp:inline>
        </w:drawing>
      </w:r>
    </w:p>
    <w:p w:rsidR="00F8125F" w:rsidRDefault="00F8125F" w:rsidP="001F414A">
      <w:pPr>
        <w:jc w:val="both"/>
        <w:rPr>
          <w:sz w:val="22"/>
          <w:szCs w:val="22"/>
          <w:lang w:val="en-GB"/>
        </w:rPr>
      </w:pPr>
    </w:p>
    <w:p w:rsidR="00F8125F" w:rsidRDefault="00F8125F" w:rsidP="001F414A">
      <w:pPr>
        <w:jc w:val="both"/>
        <w:rPr>
          <w:sz w:val="22"/>
          <w:szCs w:val="22"/>
          <w:lang w:val="en-GB"/>
        </w:rPr>
      </w:pPr>
    </w:p>
    <w:p w:rsidR="00F8125F" w:rsidRDefault="00F8125F" w:rsidP="001F414A">
      <w:pPr>
        <w:jc w:val="both"/>
        <w:rPr>
          <w:sz w:val="22"/>
          <w:szCs w:val="22"/>
          <w:lang w:val="en-GB"/>
        </w:rPr>
      </w:pPr>
    </w:p>
    <w:p w:rsidR="00AC3BCD" w:rsidRDefault="00AC3BCD" w:rsidP="004408A0">
      <w:pPr>
        <w:rPr>
          <w:rFonts w:eastAsia="MS PGothic" w:hAnsi="Arial"/>
          <w:color w:val="000000"/>
        </w:rPr>
      </w:pPr>
      <w:r>
        <w:rPr>
          <w:rFonts w:eastAsia="MS PGothic"/>
          <w:b/>
          <w:color w:val="000000"/>
          <w:sz w:val="28"/>
          <w:szCs w:val="28"/>
        </w:rPr>
        <w:t xml:space="preserve">Title: </w:t>
      </w:r>
      <w:r w:rsidR="004408A0" w:rsidRPr="004408A0">
        <w:rPr>
          <w:rFonts w:eastAsia="MS PGothic"/>
          <w:b/>
          <w:color w:val="000000"/>
          <w:sz w:val="28"/>
          <w:szCs w:val="28"/>
        </w:rPr>
        <w:t>Teleophthalmology in community eye health: A systematic review of its effectiveness and feasibility</w:t>
      </w:r>
      <w:r>
        <w:rPr>
          <w:rFonts w:eastAsia="MS PGothic" w:hAnsi="Arial"/>
          <w:color w:val="000000"/>
        </w:rPr>
        <w:br/>
      </w:r>
      <w:r>
        <w:rPr>
          <w:b/>
          <w:sz w:val="28"/>
          <w:szCs w:val="28"/>
        </w:rPr>
        <w:t xml:space="preserve">                                            </w:t>
      </w:r>
      <w:r>
        <w:rPr>
          <w:rFonts w:eastAsia="MS PGothic" w:hAnsi="Arial"/>
          <w:color w:val="000000"/>
        </w:rPr>
        <w:t xml:space="preserve">Name: </w:t>
      </w:r>
      <w:bookmarkStart w:id="0" w:name="_GoBack"/>
      <w:r w:rsidR="00280B33">
        <w:rPr>
          <w:rFonts w:eastAsia="MS PGothic" w:hAnsi="Arial"/>
          <w:color w:val="000000"/>
        </w:rPr>
        <w:t xml:space="preserve">Haneen Ahmad </w:t>
      </w:r>
      <w:r w:rsidR="00B9393B">
        <w:rPr>
          <w:rFonts w:eastAsia="MS PGothic" w:hAnsi="Arial"/>
          <w:color w:val="000000"/>
        </w:rPr>
        <w:t>AL Azzam</w:t>
      </w:r>
      <w:bookmarkEnd w:id="0"/>
    </w:p>
    <w:p w:rsidR="00AC3BCD" w:rsidRDefault="00AC3BCD" w:rsidP="00B9393B">
      <w:pPr>
        <w:rPr>
          <w:rFonts w:eastAsia="MS PGothic" w:hAnsi="Arial"/>
          <w:color w:val="000000"/>
        </w:rPr>
      </w:pPr>
      <w:r>
        <w:rPr>
          <w:b/>
          <w:sz w:val="28"/>
          <w:szCs w:val="28"/>
        </w:rPr>
        <w:t xml:space="preserve">                  </w:t>
      </w:r>
      <w:r w:rsidR="00B9393B">
        <w:rPr>
          <w:rFonts w:eastAsia="MS PGothic" w:hAnsi="Arial"/>
          <w:color w:val="000000"/>
        </w:rPr>
        <w:t xml:space="preserve">                  </w:t>
      </w:r>
      <w:r w:rsidR="00B9393B" w:rsidRPr="00B9393B">
        <w:rPr>
          <w:rFonts w:eastAsia="MS PGothic" w:hAnsi="Arial"/>
          <w:color w:val="000000"/>
        </w:rPr>
        <w:t>Luminus Technical university college, Jordan</w:t>
      </w:r>
    </w:p>
    <w:p w:rsidR="00B9393B" w:rsidRDefault="00B9393B" w:rsidP="00B9393B">
      <w:pPr>
        <w:rPr>
          <w:rFonts w:eastAsia="Batang"/>
          <w:color w:val="0000FF"/>
          <w:sz w:val="36"/>
          <w:szCs w:val="36"/>
        </w:rPr>
      </w:pPr>
    </w:p>
    <w:p w:rsidR="00280B33" w:rsidRDefault="00280B33" w:rsidP="00280B33">
      <w:pPr>
        <w:jc w:val="both"/>
        <w:rPr>
          <w:rFonts w:eastAsia="MS PGothic"/>
          <w:color w:val="000000"/>
          <w:szCs w:val="32"/>
        </w:rPr>
      </w:pPr>
      <w:r w:rsidRPr="00280B33">
        <w:rPr>
          <w:rFonts w:eastAsia="MS PGothic"/>
          <w:color w:val="000000"/>
          <w:szCs w:val="32"/>
        </w:rPr>
        <w:t>Abstract:</w:t>
      </w:r>
    </w:p>
    <w:p w:rsidR="004408A0" w:rsidRPr="00280B33" w:rsidRDefault="004408A0" w:rsidP="00280B33">
      <w:pPr>
        <w:jc w:val="both"/>
        <w:rPr>
          <w:rFonts w:eastAsia="MS PGothic"/>
          <w:color w:val="000000"/>
          <w:szCs w:val="32"/>
        </w:rPr>
      </w:pPr>
    </w:p>
    <w:p w:rsidR="004408A0" w:rsidRPr="004408A0" w:rsidRDefault="004408A0" w:rsidP="004408A0">
      <w:pPr>
        <w:jc w:val="both"/>
        <w:rPr>
          <w:rFonts w:eastAsia="MS PGothic"/>
          <w:color w:val="000000"/>
          <w:szCs w:val="32"/>
          <w:lang w:val="en-GB"/>
        </w:rPr>
      </w:pPr>
      <w:r w:rsidRPr="004408A0">
        <w:rPr>
          <w:rFonts w:eastAsia="MS PGothic"/>
          <w:color w:val="000000"/>
          <w:szCs w:val="32"/>
          <w:lang w:val="en-GB"/>
        </w:rPr>
        <w:t>Introduction: Teleophthalmology has been suggested as a potential solution for increasing access to eye care services in underserved communities. This systematic review aims to evaluate the effectiveness and feasibility of teleophthalmology in community eye health.</w:t>
      </w:r>
    </w:p>
    <w:p w:rsidR="004408A0" w:rsidRPr="004408A0" w:rsidRDefault="004408A0" w:rsidP="004408A0">
      <w:pPr>
        <w:jc w:val="both"/>
        <w:rPr>
          <w:rFonts w:eastAsia="MS PGothic"/>
          <w:color w:val="000000"/>
          <w:szCs w:val="32"/>
          <w:lang w:val="en-GB"/>
        </w:rPr>
      </w:pPr>
    </w:p>
    <w:p w:rsidR="004408A0" w:rsidRPr="004408A0" w:rsidRDefault="004408A0" w:rsidP="004408A0">
      <w:pPr>
        <w:jc w:val="both"/>
        <w:rPr>
          <w:rFonts w:eastAsia="MS PGothic"/>
          <w:color w:val="000000"/>
          <w:szCs w:val="32"/>
          <w:lang w:val="en-GB"/>
        </w:rPr>
      </w:pPr>
      <w:r w:rsidRPr="004408A0">
        <w:rPr>
          <w:rFonts w:eastAsia="MS PGothic"/>
          <w:color w:val="000000"/>
          <w:szCs w:val="32"/>
          <w:lang w:val="en-GB"/>
        </w:rPr>
        <w:t>Methods: A systematic search of electronic databases was conducted to identify relevant studies. The inclusion criteria were randomized controlled trials, non-randomized controlled trials, and observational studies that evaluated the effectiveness or feasibility of teleophthalmology in community eye health. Quality assessment was performed using the Cochrane risk of bias tool for randomized controlled trials and the ROBINS-I tool for non-randomized controlled trials and observational studies.</w:t>
      </w:r>
    </w:p>
    <w:p w:rsidR="004408A0" w:rsidRPr="004408A0" w:rsidRDefault="004408A0" w:rsidP="004408A0">
      <w:pPr>
        <w:jc w:val="both"/>
        <w:rPr>
          <w:rFonts w:eastAsia="MS PGothic"/>
          <w:color w:val="000000"/>
          <w:szCs w:val="32"/>
          <w:lang w:val="en-GB"/>
        </w:rPr>
      </w:pPr>
    </w:p>
    <w:p w:rsidR="004408A0" w:rsidRPr="004408A0" w:rsidRDefault="004408A0" w:rsidP="004408A0">
      <w:pPr>
        <w:jc w:val="both"/>
        <w:rPr>
          <w:rFonts w:eastAsia="MS PGothic"/>
          <w:color w:val="000000"/>
          <w:szCs w:val="32"/>
          <w:lang w:val="en-GB"/>
        </w:rPr>
      </w:pPr>
      <w:r w:rsidRPr="004408A0">
        <w:rPr>
          <w:rFonts w:eastAsia="MS PGothic"/>
          <w:color w:val="000000"/>
          <w:szCs w:val="32"/>
          <w:lang w:val="en-GB"/>
        </w:rPr>
        <w:t>Results: Fourteen studies met the inclusion criteria, including seven randomized controlled trials, four non-randomized controlled trials, and three observational studies. The studies evaluated the use of teleophthalmology in a range of community settings, including rural and urban areas. The results suggest that teleophthalmology is effective in improving access to eye care services, increasing the detection of eye diseases, and reducing unnecessary referrals. Additionally, teleophthalmology was found to be feasible and acceptable to patients and healthcare providers.</w:t>
      </w:r>
    </w:p>
    <w:p w:rsidR="004408A0" w:rsidRPr="004408A0" w:rsidRDefault="004408A0" w:rsidP="004408A0">
      <w:pPr>
        <w:jc w:val="both"/>
        <w:rPr>
          <w:rFonts w:eastAsia="MS PGothic"/>
          <w:color w:val="000000"/>
          <w:szCs w:val="32"/>
          <w:lang w:val="en-GB"/>
        </w:rPr>
      </w:pPr>
    </w:p>
    <w:p w:rsidR="00280B33" w:rsidRDefault="004408A0" w:rsidP="004408A0">
      <w:pPr>
        <w:jc w:val="both"/>
        <w:rPr>
          <w:rFonts w:eastAsia="MS PGothic"/>
          <w:color w:val="000000"/>
          <w:szCs w:val="32"/>
          <w:lang w:val="en-GB"/>
        </w:rPr>
      </w:pPr>
      <w:r w:rsidRPr="004408A0">
        <w:rPr>
          <w:rFonts w:eastAsia="MS PGothic"/>
          <w:color w:val="000000"/>
          <w:szCs w:val="32"/>
          <w:lang w:val="en-GB"/>
        </w:rPr>
        <w:t>Conclusion: Teleophthalmology is a promising approach for increasing access to eye care services in underserved communities. Future research should focus on the long-term sustainability of teleophthalmology programs, cost-effectiveness, and the integration of teleophthalmology into existing healthcare systems.</w:t>
      </w:r>
    </w:p>
    <w:p w:rsidR="004408A0" w:rsidRDefault="004408A0" w:rsidP="004408A0">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C44CFA" w:rsidRDefault="00C44CFA" w:rsidP="00C44CFA">
      <w:pPr>
        <w:jc w:val="both"/>
      </w:pPr>
      <w:r>
        <w:t xml:space="preserve">Haneen Ahmad AL Azzam is a highly educated and dedicated professional with a passion for optometry and vision research. She received her BSc degree in Optometry from Jordan University </w:t>
      </w:r>
      <w:r>
        <w:lastRenderedPageBreak/>
        <w:t>of Science and Technology in 2019, followed by a Masters degree in Investigative Ophthalmology and Vision Research from Glasgow Caledonian University in the UK in 2021.</w:t>
      </w:r>
    </w:p>
    <w:p w:rsidR="00C44CFA" w:rsidRDefault="00C44CFA" w:rsidP="00C44CFA">
      <w:pPr>
        <w:jc w:val="both"/>
      </w:pPr>
    </w:p>
    <w:p w:rsidR="00C44CFA" w:rsidRDefault="00C44CFA" w:rsidP="00C44CFA">
      <w:pPr>
        <w:jc w:val="both"/>
      </w:pPr>
      <w:r>
        <w:t xml:space="preserve">Currently, she serves as a full-time </w:t>
      </w:r>
      <w:r w:rsidR="00F8125F">
        <w:t xml:space="preserve">Assistant </w:t>
      </w:r>
      <w:r>
        <w:t>Lecturer at LTUC, where she teaches various optometry courses and other courses in the medical department, including biology, anatomy, and medical sociology. Haneen is a member of the World Council of Optometry (WCO) and the American Academy of Optometry (AAO), and she serves as a clinical director in the The World Of Optometry (TWOP).</w:t>
      </w:r>
    </w:p>
    <w:p w:rsidR="00AC3BCD" w:rsidRPr="00A41107" w:rsidRDefault="00085B88" w:rsidP="00AC3BCD">
      <w:pPr>
        <w:jc w:val="both"/>
        <w:rPr>
          <w:rFonts w:eastAsia="MS PGothic"/>
          <w:b/>
          <w:color w:val="000000"/>
          <w:szCs w:val="32"/>
        </w:rPr>
      </w:pPr>
      <w:r>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B9393B">
        <w:rPr>
          <w:lang w:val="en-NZ"/>
        </w:rPr>
        <w:t>Haneen Ahmad AL Azzam</w:t>
      </w:r>
      <w:r w:rsidRPr="008A690F">
        <w:rPr>
          <w:lang w:val="en-NZ"/>
        </w:rPr>
        <w:br/>
        <w:t>Contact number:</w:t>
      </w:r>
      <w:r w:rsidR="00B9393B">
        <w:rPr>
          <w:lang w:val="en-NZ"/>
        </w:rPr>
        <w:t xml:space="preserve"> +962797594456</w:t>
      </w:r>
      <w:r w:rsidRPr="008A690F">
        <w:rPr>
          <w:lang w:val="en-NZ"/>
        </w:rPr>
        <w:br/>
        <w:t>Twitter account:</w:t>
      </w:r>
      <w:r w:rsidR="00B9393B">
        <w:rPr>
          <w:lang w:val="en-NZ"/>
        </w:rPr>
        <w:t xml:space="preserve"> </w:t>
      </w:r>
      <w:hyperlink r:id="rId10" w:history="1">
        <w:r w:rsidR="0015336E">
          <w:rPr>
            <w:rStyle w:val="Hyperlink"/>
          </w:rPr>
          <w:t xml:space="preserve">Haneen A Azzam </w:t>
        </w:r>
        <w:r w:rsidR="0015336E">
          <w:rPr>
            <w:rStyle w:val="Hyperlink"/>
            <w:rFonts w:ascii="Segoe UI Emoji" w:hAnsi="Segoe UI Emoji" w:cs="Segoe UI Emoji"/>
          </w:rPr>
          <w:t>🧚</w:t>
        </w:r>
        <w:r w:rsidR="0015336E">
          <w:rPr>
            <w:rStyle w:val="Hyperlink"/>
          </w:rPr>
          <w:t>‍♀️ (@hanoon_azzam) / Twitter</w:t>
        </w:r>
      </w:hyperlink>
      <w:r w:rsidRPr="008A690F">
        <w:rPr>
          <w:lang w:val="en-NZ"/>
        </w:rPr>
        <w:br/>
        <w:t>Linked In account:</w:t>
      </w:r>
      <w:r w:rsidR="0015336E">
        <w:rPr>
          <w:lang w:val="en-NZ"/>
        </w:rPr>
        <w:t xml:space="preserve"> </w:t>
      </w:r>
      <w:hyperlink r:id="rId11" w:history="1">
        <w:r w:rsidR="0015336E">
          <w:rPr>
            <w:rStyle w:val="Hyperlink"/>
          </w:rPr>
          <w:t>Haneen Al Azzam | LinkedIn</w:t>
        </w:r>
      </w:hyperlink>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15336E">
        <w:rPr>
          <w:lang w:val="en-NZ"/>
        </w:rPr>
        <w:t xml:space="preserve"> </w:t>
      </w:r>
      <w:r w:rsidRPr="008A690F">
        <w:rPr>
          <w:lang w:val="en-NZ"/>
        </w:rPr>
        <w:br/>
        <w:t>Category: Oral presentation</w:t>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2"/>
      <w:headerReference w:type="default" r:id="rId13"/>
      <w:footerReference w:type="even" r:id="rId14"/>
      <w:footerReference w:type="default" r:id="rId15"/>
      <w:headerReference w:type="first" r:id="rId16"/>
      <w:footerReference w:type="first" r:id="rId17"/>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D74" w:rsidRDefault="00372D74" w:rsidP="00671A59">
      <w:r>
        <w:separator/>
      </w:r>
    </w:p>
  </w:endnote>
  <w:endnote w:type="continuationSeparator" w:id="0">
    <w:p w:rsidR="00372D74" w:rsidRDefault="00372D7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D74" w:rsidRDefault="00372D74" w:rsidP="00671A59">
      <w:r>
        <w:separator/>
      </w:r>
    </w:p>
  </w:footnote>
  <w:footnote w:type="continuationSeparator" w:id="0">
    <w:p w:rsidR="00372D74" w:rsidRDefault="00372D74"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5336E"/>
    <w:rsid w:val="001A411C"/>
    <w:rsid w:val="001B1336"/>
    <w:rsid w:val="001B6DE6"/>
    <w:rsid w:val="001F414A"/>
    <w:rsid w:val="00205354"/>
    <w:rsid w:val="002659F1"/>
    <w:rsid w:val="00270EC9"/>
    <w:rsid w:val="00280B33"/>
    <w:rsid w:val="00292DC0"/>
    <w:rsid w:val="002B18D5"/>
    <w:rsid w:val="002C0F2B"/>
    <w:rsid w:val="00372D74"/>
    <w:rsid w:val="003753DD"/>
    <w:rsid w:val="003A4429"/>
    <w:rsid w:val="004408A0"/>
    <w:rsid w:val="004775E3"/>
    <w:rsid w:val="0049217F"/>
    <w:rsid w:val="004A0716"/>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D7FD7"/>
    <w:rsid w:val="009E6632"/>
    <w:rsid w:val="009E6C61"/>
    <w:rsid w:val="009F61FE"/>
    <w:rsid w:val="00A31D17"/>
    <w:rsid w:val="00A41107"/>
    <w:rsid w:val="00A50066"/>
    <w:rsid w:val="00A668A1"/>
    <w:rsid w:val="00A76E81"/>
    <w:rsid w:val="00A83688"/>
    <w:rsid w:val="00A83863"/>
    <w:rsid w:val="00AB4B50"/>
    <w:rsid w:val="00AC3BCD"/>
    <w:rsid w:val="00AD6315"/>
    <w:rsid w:val="00AF4356"/>
    <w:rsid w:val="00B26097"/>
    <w:rsid w:val="00B27625"/>
    <w:rsid w:val="00B675D9"/>
    <w:rsid w:val="00B9393B"/>
    <w:rsid w:val="00BF5676"/>
    <w:rsid w:val="00C44CFA"/>
    <w:rsid w:val="00C97939"/>
    <w:rsid w:val="00CB7197"/>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8125F"/>
    <w:rsid w:val="00F90AE2"/>
    <w:rsid w:val="00F95CE9"/>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66343299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435519241">
      <w:bodyDiv w:val="1"/>
      <w:marLeft w:val="0"/>
      <w:marRight w:val="0"/>
      <w:marTop w:val="0"/>
      <w:marBottom w:val="0"/>
      <w:divBdr>
        <w:top w:val="none" w:sz="0" w:space="0" w:color="auto"/>
        <w:left w:val="none" w:sz="0" w:space="0" w:color="auto"/>
        <w:bottom w:val="none" w:sz="0" w:space="0" w:color="auto"/>
        <w:right w:val="none" w:sz="0" w:space="0" w:color="auto"/>
      </w:divBdr>
    </w:div>
    <w:div w:id="200981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inkedin.com/in/haneen-al-azzam-b24701209/"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twitter.com/hanoon_azza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DA883-1E70-4E97-A10C-8B1B78890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2710</Characters>
  <Application>Microsoft Office Word</Application>
  <DocSecurity>0</DocSecurity>
  <Lines>22</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3179</CharactersWithSpaces>
  <SharedDoc>false</SharedDoc>
  <HLinks>
    <vt:vector size="12" baseType="variant">
      <vt:variant>
        <vt:i4>3342455</vt:i4>
      </vt:variant>
      <vt:variant>
        <vt:i4>3</vt:i4>
      </vt:variant>
      <vt:variant>
        <vt:i4>0</vt:i4>
      </vt:variant>
      <vt:variant>
        <vt:i4>5</vt:i4>
      </vt:variant>
      <vt:variant>
        <vt:lpwstr>https://www.linkedin.com/in/haneen-al-azzam-b24701209/</vt:lpwstr>
      </vt:variant>
      <vt:variant>
        <vt:lpwstr/>
      </vt:variant>
      <vt:variant>
        <vt:i4>983160</vt:i4>
      </vt:variant>
      <vt:variant>
        <vt:i4>0</vt:i4>
      </vt:variant>
      <vt:variant>
        <vt:i4>0</vt:i4>
      </vt:variant>
      <vt:variant>
        <vt:i4>5</vt:i4>
      </vt:variant>
      <vt:variant>
        <vt:lpwstr>https://twitter.com/hanoon_azzam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2023-02-27T05:55:00Z</dcterms:created>
  <dcterms:modified xsi:type="dcterms:W3CDTF">2023-02-27T05:55:00Z</dcterms:modified>
</cp:coreProperties>
</file>