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4744" w:rsidRDefault="00166BD9">
      <w:pPr>
        <w:widowControl/>
        <w:rPr>
          <w:color w:val="337AB7"/>
        </w:rPr>
      </w:pPr>
      <w:r>
        <w:rPr>
          <w:rFonts w:ascii="Minion Pro" w:eastAsia="Minion Pro" w:hAnsi="Minion Pro" w:cs="Minion Pro"/>
          <w:b/>
          <w:bCs/>
          <w:color w:val="337AB7"/>
          <w:sz w:val="36"/>
          <w:szCs w:val="36"/>
        </w:rPr>
        <w:t xml:space="preserve">Clinical risk factors analysis of Large-Volume contralateral central lymph node metastasis of </w:t>
      </w:r>
      <w:r>
        <w:rPr>
          <w:rFonts w:ascii="Minion Pro" w:eastAsia="Minion Pro" w:hAnsi="Minion Pro" w:cs="Minion Pro"/>
          <w:b/>
          <w:bCs/>
          <w:color w:val="337AB7"/>
          <w:sz w:val="36"/>
          <w:szCs w:val="36"/>
          <w:lang w:eastAsia="zh-CN"/>
        </w:rPr>
        <w:t xml:space="preserve">unilateral </w:t>
      </w:r>
      <w:r>
        <w:rPr>
          <w:rFonts w:ascii="Minion Pro" w:eastAsia="Minion Pro" w:hAnsi="Minion Pro" w:cs="Minion Pro"/>
          <w:b/>
          <w:bCs/>
          <w:color w:val="337AB7"/>
          <w:sz w:val="36"/>
          <w:szCs w:val="36"/>
        </w:rPr>
        <w:t>papillary thyroid carcinoma</w:t>
      </w:r>
    </w:p>
    <w:p w:rsidR="00104744" w:rsidRDefault="00166BD9">
      <w:pPr>
        <w:pStyle w:val="BodyText"/>
        <w:spacing w:before="73" w:line="198" w:lineRule="exact"/>
        <w:ind w:left="100" w:right="5987"/>
        <w:rPr>
          <w:rFonts w:ascii="Arial"/>
        </w:rPr>
      </w:pPr>
      <w:r>
        <w:rPr>
          <w:rFonts w:ascii="Arial"/>
        </w:rPr>
        <w:t xml:space="preserve">Yu </w:t>
      </w:r>
      <w:proofErr w:type="spellStart"/>
      <w:r>
        <w:rPr>
          <w:rFonts w:ascii="Arial"/>
        </w:rPr>
        <w:t>zhang</w:t>
      </w:r>
      <w:proofErr w:type="spellEnd"/>
      <w:r>
        <w:rPr>
          <w:rFonts w:ascii="Arial"/>
        </w:rPr>
        <w:t xml:space="preserve">, PhD, </w:t>
      </w:r>
      <w:r>
        <w:rPr>
          <w:rFonts w:ascii="Arial"/>
        </w:rPr>
        <w:t>China</w:t>
      </w:r>
    </w:p>
    <w:p w:rsidR="00104744" w:rsidRDefault="00104744">
      <w:pPr>
        <w:pStyle w:val="BodyText"/>
        <w:rPr>
          <w:rFonts w:ascii="Arial"/>
          <w:sz w:val="20"/>
        </w:rPr>
      </w:pPr>
    </w:p>
    <w:p w:rsidR="00104744" w:rsidRDefault="00104744">
      <w:pPr>
        <w:rPr>
          <w:rFonts w:ascii="Arial"/>
          <w:sz w:val="21"/>
        </w:rPr>
        <w:sectPr w:rsidR="00104744">
          <w:footerReference w:type="default" r:id="rId9"/>
          <w:type w:val="continuous"/>
          <w:pgSz w:w="11910" w:h="16840"/>
          <w:pgMar w:top="995" w:right="600" w:bottom="840" w:left="620" w:header="0" w:footer="0" w:gutter="0"/>
          <w:cols w:space="720"/>
          <w:docGrid w:linePitch="299"/>
        </w:sectPr>
      </w:pPr>
    </w:p>
    <w:p w:rsidR="00104744" w:rsidRDefault="00166BD9">
      <w:pPr>
        <w:pStyle w:val="Heading3"/>
        <w:spacing w:before="147"/>
        <w:jc w:val="both"/>
      </w:pPr>
      <w:r>
        <w:rPr>
          <w:color w:val="BF5A14"/>
        </w:rPr>
        <w:lastRenderedPageBreak/>
        <w:t>Abstract (300 word limit)</w:t>
      </w:r>
    </w:p>
    <w:p w:rsidR="00104744" w:rsidRDefault="00166BD9">
      <w:pPr>
        <w:pStyle w:val="Heading3"/>
        <w:spacing w:before="74"/>
        <w:jc w:val="both"/>
        <w:rPr>
          <w:rFonts w:eastAsia="Tw Cen MT" w:hAnsi="Tw Cen MT" w:cs="Tw Cen MT"/>
          <w:b w:val="0"/>
          <w:bCs w:val="0"/>
          <w:sz w:val="18"/>
          <w:szCs w:val="18"/>
        </w:rPr>
      </w:pPr>
      <w:r>
        <w:rPr>
          <w:rFonts w:eastAsia="Tw Cen MT" w:hAnsi="Tw Cen MT" w:cs="Tw Cen MT" w:hint="eastAsia"/>
          <w:b w:val="0"/>
          <w:bCs w:val="0"/>
          <w:sz w:val="18"/>
          <w:szCs w:val="18"/>
        </w:rPr>
        <w:t xml:space="preserve">Objective: To explore the clinical significance high risk clinical factors in predicting </w:t>
      </w:r>
      <w:r>
        <w:rPr>
          <w:rFonts w:eastAsia="Tw Cen MT" w:hAnsi="Tw Cen MT" w:cs="Tw Cen MT" w:hint="eastAsia"/>
          <w:b w:val="0"/>
          <w:bCs w:val="0"/>
          <w:sz w:val="18"/>
          <w:szCs w:val="18"/>
        </w:rPr>
        <w:t>Large-Volume contralateral central lymph node metastasis (CCLNM) of unilateral thyroid papillary carcinoma (</w:t>
      </w:r>
      <w:proofErr w:type="spellStart"/>
      <w:r>
        <w:rPr>
          <w:rFonts w:eastAsia="Tw Cen MT" w:hAnsi="Tw Cen MT" w:cs="Tw Cen MT" w:hint="eastAsia"/>
          <w:b w:val="0"/>
          <w:bCs w:val="0"/>
          <w:sz w:val="18"/>
          <w:szCs w:val="18"/>
        </w:rPr>
        <w:t>uPTC</w:t>
      </w:r>
      <w:proofErr w:type="spellEnd"/>
      <w:r>
        <w:rPr>
          <w:rFonts w:eastAsia="Tw Cen MT" w:hAnsi="Tw Cen MT" w:cs="Tw Cen MT" w:hint="eastAsia"/>
          <w:b w:val="0"/>
          <w:bCs w:val="0"/>
          <w:sz w:val="18"/>
          <w:szCs w:val="18"/>
        </w:rPr>
        <w:t xml:space="preserve">), and to explore the indications of </w:t>
      </w:r>
      <w:proofErr w:type="spellStart"/>
      <w:r>
        <w:rPr>
          <w:rFonts w:eastAsia="Tw Cen MT" w:hAnsi="Tw Cen MT" w:cs="Tw Cen MT" w:hint="eastAsia"/>
          <w:b w:val="0"/>
          <w:bCs w:val="0"/>
          <w:sz w:val="18"/>
          <w:szCs w:val="18"/>
        </w:rPr>
        <w:t>Cont</w:t>
      </w:r>
      <w:proofErr w:type="spellEnd"/>
    </w:p>
    <w:p w:rsidR="00104744" w:rsidRDefault="00166BD9">
      <w:pPr>
        <w:pStyle w:val="Heading3"/>
        <w:spacing w:before="74"/>
        <w:jc w:val="both"/>
        <w:rPr>
          <w:rFonts w:eastAsia="Tw Cen MT" w:hAnsi="Tw Cen MT" w:cs="Tw Cen MT"/>
          <w:b w:val="0"/>
          <w:bCs w:val="0"/>
          <w:sz w:val="18"/>
          <w:szCs w:val="18"/>
        </w:rPr>
      </w:pPr>
      <w:proofErr w:type="gramStart"/>
      <w:r>
        <w:rPr>
          <w:rFonts w:eastAsia="Tw Cen MT" w:hAnsi="Tw Cen MT" w:cs="Tw Cen MT" w:hint="eastAsia"/>
          <w:b w:val="0"/>
          <w:bCs w:val="0"/>
          <w:sz w:val="18"/>
          <w:szCs w:val="18"/>
        </w:rPr>
        <w:t>CLNs dissection.</w:t>
      </w:r>
      <w:proofErr w:type="gramEnd"/>
    </w:p>
    <w:p w:rsidR="00104744" w:rsidRDefault="00166BD9">
      <w:pPr>
        <w:pStyle w:val="Heading3"/>
        <w:spacing w:before="74"/>
        <w:jc w:val="both"/>
        <w:rPr>
          <w:rFonts w:eastAsia="Tw Cen MT" w:hAnsi="Tw Cen MT" w:cs="Tw Cen MT"/>
          <w:b w:val="0"/>
          <w:bCs w:val="0"/>
          <w:sz w:val="18"/>
          <w:szCs w:val="18"/>
        </w:rPr>
      </w:pPr>
      <w:r>
        <w:rPr>
          <w:rFonts w:eastAsia="Tw Cen MT" w:hAnsi="Tw Cen MT" w:cs="Tw Cen MT" w:hint="eastAsia"/>
          <w:b w:val="0"/>
          <w:bCs w:val="0"/>
          <w:sz w:val="18"/>
          <w:szCs w:val="18"/>
        </w:rPr>
        <w:t xml:space="preserve">Methods: The pathological data of 259 patients that underwent thyroid surgery at </w:t>
      </w:r>
      <w:r>
        <w:rPr>
          <w:rFonts w:eastAsia="Tw Cen MT" w:hAnsi="Tw Cen MT" w:cs="Tw Cen MT" w:hint="eastAsia"/>
          <w:b w:val="0"/>
          <w:bCs w:val="0"/>
          <w:sz w:val="18"/>
          <w:szCs w:val="18"/>
        </w:rPr>
        <w:t>affiliated Hangzhou First People</w:t>
      </w:r>
      <w:r>
        <w:rPr>
          <w:rFonts w:eastAsia="Tw Cen MT" w:hAnsi="Tw Cen MT" w:cs="Tw Cen MT" w:hint="eastAsia"/>
          <w:b w:val="0"/>
          <w:bCs w:val="0"/>
          <w:sz w:val="18"/>
          <w:szCs w:val="18"/>
        </w:rPr>
        <w:t>’</w:t>
      </w:r>
      <w:r>
        <w:rPr>
          <w:rFonts w:eastAsia="Tw Cen MT" w:hAnsi="Tw Cen MT" w:cs="Tw Cen MT" w:hint="eastAsia"/>
          <w:b w:val="0"/>
          <w:bCs w:val="0"/>
          <w:sz w:val="18"/>
          <w:szCs w:val="18"/>
        </w:rPr>
        <w:t xml:space="preserve">s Hospital Zhejiang University School of Medicine from January 2013 to October 2022 were collected and randomized into training and validation cohorts (7:3). </w:t>
      </w:r>
      <w:proofErr w:type="spellStart"/>
      <w:r>
        <w:rPr>
          <w:rFonts w:eastAsia="Tw Cen MT" w:hAnsi="Tw Cen MT" w:cs="Tw Cen MT" w:hint="eastAsia"/>
          <w:b w:val="0"/>
          <w:bCs w:val="0"/>
          <w:sz w:val="18"/>
          <w:szCs w:val="18"/>
        </w:rPr>
        <w:t>Univariate</w:t>
      </w:r>
      <w:proofErr w:type="spellEnd"/>
      <w:r>
        <w:rPr>
          <w:rFonts w:eastAsia="Tw Cen MT" w:hAnsi="Tw Cen MT" w:cs="Tw Cen MT" w:hint="eastAsia"/>
          <w:b w:val="0"/>
          <w:bCs w:val="0"/>
          <w:sz w:val="18"/>
          <w:szCs w:val="18"/>
        </w:rPr>
        <w:t xml:space="preserve"> and multivariate logistic regression analyses were use</w:t>
      </w:r>
      <w:r>
        <w:rPr>
          <w:rFonts w:eastAsia="Tw Cen MT" w:hAnsi="Tw Cen MT" w:cs="Tw Cen MT" w:hint="eastAsia"/>
          <w:b w:val="0"/>
          <w:bCs w:val="0"/>
          <w:sz w:val="18"/>
          <w:szCs w:val="18"/>
        </w:rPr>
        <w:t xml:space="preserve">d to determine the independent risk factors of CCLNM and Large-Volume CCLNM in PTC patients. Forest plot was plotted to visualize the prediction factors from the output of the multivariate regression analysis. A predictive </w:t>
      </w:r>
      <w:proofErr w:type="spellStart"/>
      <w:r>
        <w:rPr>
          <w:rFonts w:eastAsia="Tw Cen MT" w:hAnsi="Tw Cen MT" w:cs="Tw Cen MT" w:hint="eastAsia"/>
          <w:b w:val="0"/>
          <w:bCs w:val="0"/>
          <w:sz w:val="18"/>
          <w:szCs w:val="18"/>
        </w:rPr>
        <w:t>nomogram</w:t>
      </w:r>
      <w:proofErr w:type="spellEnd"/>
      <w:r>
        <w:rPr>
          <w:rFonts w:eastAsia="Tw Cen MT" w:hAnsi="Tw Cen MT" w:cs="Tw Cen MT" w:hint="eastAsia"/>
          <w:b w:val="0"/>
          <w:bCs w:val="0"/>
          <w:sz w:val="18"/>
          <w:szCs w:val="18"/>
        </w:rPr>
        <w:t xml:space="preserve"> for predicting CCLNM and</w:t>
      </w:r>
      <w:r>
        <w:rPr>
          <w:rFonts w:eastAsia="Tw Cen MT" w:hAnsi="Tw Cen MT" w:cs="Tw Cen MT" w:hint="eastAsia"/>
          <w:b w:val="0"/>
          <w:bCs w:val="0"/>
          <w:sz w:val="18"/>
          <w:szCs w:val="18"/>
        </w:rPr>
        <w:t xml:space="preserve"> Large-Volume CCLNM were constructed by logistic regression and validated by ROC curves, concordance index (C-index), calibration curve, and decision curve analyses (DCA). The existing data were compared with the original model.</w:t>
      </w:r>
    </w:p>
    <w:p w:rsidR="00104744" w:rsidRDefault="00166BD9">
      <w:pPr>
        <w:pStyle w:val="Heading3"/>
        <w:spacing w:before="74"/>
        <w:jc w:val="both"/>
        <w:rPr>
          <w:rFonts w:eastAsia="Tw Cen MT" w:hAnsi="Tw Cen MT" w:cs="Tw Cen MT"/>
          <w:b w:val="0"/>
          <w:bCs w:val="0"/>
          <w:sz w:val="18"/>
          <w:szCs w:val="18"/>
        </w:rPr>
      </w:pPr>
      <w:r>
        <w:rPr>
          <w:rFonts w:eastAsia="Tw Cen MT" w:hAnsi="Tw Cen MT" w:cs="Tw Cen MT" w:hint="eastAsia"/>
          <w:b w:val="0"/>
          <w:bCs w:val="0"/>
          <w:sz w:val="18"/>
          <w:szCs w:val="18"/>
        </w:rPr>
        <w:t xml:space="preserve">Results:  According to </w:t>
      </w:r>
      <w:proofErr w:type="spellStart"/>
      <w:r>
        <w:rPr>
          <w:rFonts w:eastAsia="Tw Cen MT" w:hAnsi="Tw Cen MT" w:cs="Tw Cen MT" w:hint="eastAsia"/>
          <w:b w:val="0"/>
          <w:bCs w:val="0"/>
          <w:sz w:val="18"/>
          <w:szCs w:val="18"/>
        </w:rPr>
        <w:t>univ</w:t>
      </w:r>
      <w:r>
        <w:rPr>
          <w:rFonts w:eastAsia="Tw Cen MT" w:hAnsi="Tw Cen MT" w:cs="Tw Cen MT" w:hint="eastAsia"/>
          <w:b w:val="0"/>
          <w:bCs w:val="0"/>
          <w:sz w:val="18"/>
          <w:szCs w:val="18"/>
        </w:rPr>
        <w:t>ariate</w:t>
      </w:r>
      <w:proofErr w:type="spellEnd"/>
      <w:r>
        <w:rPr>
          <w:rFonts w:eastAsia="Tw Cen MT" w:hAnsi="Tw Cen MT" w:cs="Tw Cen MT" w:hint="eastAsia"/>
          <w:b w:val="0"/>
          <w:bCs w:val="0"/>
          <w:sz w:val="18"/>
          <w:szCs w:val="18"/>
        </w:rPr>
        <w:t xml:space="preserve"> and multivariate logistic regression analyses, male(P &lt; 0.001, OR: 8.168, 95% CI:2.617-25.491)</w:t>
      </w:r>
      <w:r>
        <w:rPr>
          <w:rFonts w:eastAsia="Tw Cen MT" w:hAnsi="Tw Cen MT" w:cs="Tw Cen MT" w:hint="eastAsia"/>
          <w:b w:val="0"/>
          <w:bCs w:val="0"/>
          <w:sz w:val="18"/>
          <w:szCs w:val="18"/>
        </w:rPr>
        <w:t>、</w:t>
      </w:r>
      <w:r>
        <w:rPr>
          <w:rFonts w:eastAsia="Tw Cen MT" w:hAnsi="Tw Cen MT" w:cs="Tw Cen MT" w:hint="eastAsia"/>
          <w:b w:val="0"/>
          <w:bCs w:val="0"/>
          <w:sz w:val="18"/>
          <w:szCs w:val="18"/>
        </w:rPr>
        <w:t>age(P=0.011, OR: 0.948, 95% CI: 0.910-0.988)</w:t>
      </w:r>
      <w:r>
        <w:rPr>
          <w:rFonts w:eastAsia="Tw Cen MT" w:hAnsi="Tw Cen MT" w:cs="Tw Cen MT" w:hint="eastAsia"/>
          <w:b w:val="0"/>
          <w:bCs w:val="0"/>
          <w:sz w:val="18"/>
          <w:szCs w:val="18"/>
        </w:rPr>
        <w:t>、</w:t>
      </w:r>
      <w:r>
        <w:rPr>
          <w:rFonts w:eastAsia="Tw Cen MT" w:hAnsi="Tw Cen MT" w:cs="Tw Cen MT" w:hint="eastAsia"/>
          <w:b w:val="0"/>
          <w:bCs w:val="0"/>
          <w:sz w:val="18"/>
          <w:szCs w:val="18"/>
        </w:rPr>
        <w:t>capsule invasion(P =0.049, OR: 2.727, 95% CI: 1.003</w:t>
      </w:r>
      <w:r>
        <w:rPr>
          <w:rFonts w:eastAsia="Tw Cen MT" w:hAnsi="Tw Cen MT" w:cs="Tw Cen MT" w:hint="eastAsia"/>
          <w:b w:val="0"/>
          <w:bCs w:val="0"/>
          <w:sz w:val="18"/>
          <w:szCs w:val="18"/>
        </w:rPr>
        <w:t>–</w:t>
      </w:r>
      <w:r>
        <w:rPr>
          <w:rFonts w:eastAsia="Tw Cen MT" w:hAnsi="Tw Cen MT" w:cs="Tw Cen MT" w:hint="eastAsia"/>
          <w:b w:val="0"/>
          <w:bCs w:val="0"/>
          <w:sz w:val="18"/>
          <w:szCs w:val="18"/>
        </w:rPr>
        <w:t>7.412) , lateral lymph node metastasis(P = 0.003, OR: 5.1</w:t>
      </w:r>
      <w:r>
        <w:rPr>
          <w:rFonts w:eastAsia="Tw Cen MT" w:hAnsi="Tw Cen MT" w:cs="Tw Cen MT" w:hint="eastAsia"/>
          <w:b w:val="0"/>
          <w:bCs w:val="0"/>
          <w:sz w:val="18"/>
          <w:szCs w:val="18"/>
        </w:rPr>
        <w:t>10, 95% CI: 1.758</w:t>
      </w:r>
      <w:r>
        <w:rPr>
          <w:rFonts w:eastAsia="Tw Cen MT" w:hAnsi="Tw Cen MT" w:cs="Tw Cen MT" w:hint="eastAsia"/>
          <w:b w:val="0"/>
          <w:bCs w:val="0"/>
          <w:sz w:val="18"/>
          <w:szCs w:val="18"/>
        </w:rPr>
        <w:t>–</w:t>
      </w:r>
      <w:r>
        <w:rPr>
          <w:rFonts w:eastAsia="Tw Cen MT" w:hAnsi="Tw Cen MT" w:cs="Tw Cen MT" w:hint="eastAsia"/>
          <w:b w:val="0"/>
          <w:bCs w:val="0"/>
          <w:sz w:val="18"/>
          <w:szCs w:val="18"/>
        </w:rPr>
        <w:t>14.854) and tumor located in the lower pole(P = 0.035, OR: 2.972, 95%CI: 1.083</w:t>
      </w:r>
      <w:r>
        <w:rPr>
          <w:rFonts w:eastAsia="Tw Cen MT" w:hAnsi="Tw Cen MT" w:cs="Tw Cen MT" w:hint="eastAsia"/>
          <w:b w:val="0"/>
          <w:bCs w:val="0"/>
          <w:sz w:val="18"/>
          <w:szCs w:val="18"/>
        </w:rPr>
        <w:t>–</w:t>
      </w:r>
      <w:r>
        <w:rPr>
          <w:rFonts w:eastAsia="Tw Cen MT" w:hAnsi="Tw Cen MT" w:cs="Tw Cen MT" w:hint="eastAsia"/>
          <w:b w:val="0"/>
          <w:bCs w:val="0"/>
          <w:sz w:val="18"/>
          <w:szCs w:val="18"/>
        </w:rPr>
        <w:t xml:space="preserve">8.158) were independent risk factors of Large-Volume CCLNM in PTC patients; When the </w:t>
      </w:r>
      <w:proofErr w:type="spellStart"/>
      <w:r>
        <w:rPr>
          <w:rFonts w:eastAsia="Tw Cen MT" w:hAnsi="Tw Cen MT" w:cs="Tw Cen MT" w:hint="eastAsia"/>
          <w:b w:val="0"/>
          <w:bCs w:val="0"/>
          <w:sz w:val="18"/>
          <w:szCs w:val="18"/>
        </w:rPr>
        <w:t>Youden</w:t>
      </w:r>
      <w:proofErr w:type="spellEnd"/>
      <w:r>
        <w:rPr>
          <w:rFonts w:eastAsia="Tw Cen MT" w:hAnsi="Tw Cen MT" w:cs="Tw Cen MT" w:hint="eastAsia"/>
          <w:b w:val="0"/>
          <w:bCs w:val="0"/>
          <w:sz w:val="18"/>
          <w:szCs w:val="18"/>
        </w:rPr>
        <w:t xml:space="preserve"> index was the highest, the area under the curve (AUC) was 0.856 (P </w:t>
      </w:r>
      <w:r>
        <w:rPr>
          <w:rFonts w:eastAsia="Tw Cen MT" w:hAnsi="Tw Cen MT" w:cs="Tw Cen MT" w:hint="eastAsia"/>
          <w:b w:val="0"/>
          <w:bCs w:val="0"/>
          <w:sz w:val="18"/>
          <w:szCs w:val="18"/>
        </w:rPr>
        <w:t>&lt; 0.001, 95% CI: 0.764</w:t>
      </w:r>
      <w:r>
        <w:rPr>
          <w:rFonts w:eastAsia="Tw Cen MT" w:hAnsi="Tw Cen MT" w:cs="Tw Cen MT" w:hint="eastAsia"/>
          <w:b w:val="0"/>
          <w:bCs w:val="0"/>
          <w:sz w:val="18"/>
          <w:szCs w:val="18"/>
        </w:rPr>
        <w:t>–</w:t>
      </w:r>
      <w:r>
        <w:rPr>
          <w:rFonts w:eastAsia="Tw Cen MT" w:hAnsi="Tw Cen MT" w:cs="Tw Cen MT" w:hint="eastAsia"/>
          <w:b w:val="0"/>
          <w:bCs w:val="0"/>
          <w:sz w:val="18"/>
          <w:szCs w:val="18"/>
        </w:rPr>
        <w:t>0.948). The externally validated AUC was 0.780 (P &lt; 0.001, 95% CI: 0.587</w:t>
      </w:r>
      <w:r>
        <w:rPr>
          <w:rFonts w:eastAsia="Tw Cen MT" w:hAnsi="Tw Cen MT" w:cs="Tw Cen MT" w:hint="eastAsia"/>
          <w:b w:val="0"/>
          <w:bCs w:val="0"/>
          <w:sz w:val="18"/>
          <w:szCs w:val="18"/>
        </w:rPr>
        <w:t>–</w:t>
      </w:r>
      <w:r>
        <w:rPr>
          <w:rFonts w:eastAsia="Tw Cen MT" w:hAnsi="Tw Cen MT" w:cs="Tw Cen MT" w:hint="eastAsia"/>
          <w:b w:val="0"/>
          <w:bCs w:val="0"/>
          <w:sz w:val="18"/>
          <w:szCs w:val="18"/>
        </w:rPr>
        <w:t>0.972). The specificity was 87.60%, and the sensitivity was 76.70%. The calibration curve and the decision curve indicated that the model had good diagnostic va</w:t>
      </w:r>
      <w:r>
        <w:rPr>
          <w:rFonts w:eastAsia="Tw Cen MT" w:hAnsi="Tw Cen MT" w:cs="Tw Cen MT" w:hint="eastAsia"/>
          <w:b w:val="0"/>
          <w:bCs w:val="0"/>
          <w:sz w:val="18"/>
          <w:szCs w:val="18"/>
        </w:rPr>
        <w:t>lue. The C-indexes in the training and the external validation data sets were 0.836 and 0.849, respectively.</w:t>
      </w:r>
    </w:p>
    <w:p w:rsidR="00104744" w:rsidRDefault="00166BD9">
      <w:pPr>
        <w:pStyle w:val="Heading3"/>
        <w:spacing w:before="74"/>
        <w:jc w:val="both"/>
        <w:rPr>
          <w:rFonts w:eastAsia="Tw Cen MT" w:hAnsi="Tw Cen MT" w:cs="Tw Cen MT"/>
          <w:b w:val="0"/>
          <w:bCs w:val="0"/>
          <w:sz w:val="18"/>
          <w:szCs w:val="18"/>
        </w:rPr>
      </w:pPr>
      <w:r>
        <w:rPr>
          <w:rFonts w:eastAsia="Tw Cen MT" w:hAnsi="Tw Cen MT" w:cs="Tw Cen MT" w:hint="eastAsia"/>
          <w:b w:val="0"/>
          <w:bCs w:val="0"/>
          <w:sz w:val="18"/>
          <w:szCs w:val="18"/>
        </w:rPr>
        <w:t>Conclusion: When male, age&lt;45 years old, lateral neck lymph node metastasis, capsule invasion and lesion location at the lower pole are the high ri</w:t>
      </w:r>
      <w:r>
        <w:rPr>
          <w:rFonts w:eastAsia="Tw Cen MT" w:hAnsi="Tw Cen MT" w:cs="Tw Cen MT" w:hint="eastAsia"/>
          <w:b w:val="0"/>
          <w:bCs w:val="0"/>
          <w:sz w:val="18"/>
          <w:szCs w:val="18"/>
        </w:rPr>
        <w:t xml:space="preserve">sk factors for LV-CCLNM in </w:t>
      </w:r>
      <w:proofErr w:type="spellStart"/>
      <w:r>
        <w:rPr>
          <w:rFonts w:eastAsia="Tw Cen MT" w:hAnsi="Tw Cen MT" w:cs="Tw Cen MT" w:hint="eastAsia"/>
          <w:b w:val="0"/>
          <w:bCs w:val="0"/>
          <w:sz w:val="18"/>
          <w:szCs w:val="18"/>
        </w:rPr>
        <w:t>uPTC</w:t>
      </w:r>
      <w:proofErr w:type="spellEnd"/>
      <w:r>
        <w:rPr>
          <w:rFonts w:eastAsia="Tw Cen MT" w:hAnsi="Tw Cen MT" w:cs="Tw Cen MT" w:hint="eastAsia"/>
          <w:b w:val="0"/>
          <w:bCs w:val="0"/>
          <w:sz w:val="18"/>
          <w:szCs w:val="18"/>
        </w:rPr>
        <w:t>. It is strongly recommended to perform preventive contralateral central lymph node dissection.</w:t>
      </w:r>
    </w:p>
    <w:p w:rsidR="00104744" w:rsidRDefault="00166BD9">
      <w:pPr>
        <w:pStyle w:val="Heading3"/>
        <w:spacing w:before="74"/>
        <w:rPr>
          <w:rFonts w:eastAsia="Tw Cen MT" w:hAnsi="Tw Cen MT" w:cs="Tw Cen MT"/>
          <w:b w:val="0"/>
          <w:bCs w:val="0"/>
          <w:sz w:val="18"/>
          <w:szCs w:val="18"/>
        </w:rPr>
      </w:pPr>
      <w:r>
        <w:rPr>
          <w:rFonts w:eastAsia="Tw Cen MT" w:hAnsi="Tw Cen MT" w:cs="Tw Cen MT" w:hint="eastAsia"/>
          <w:b w:val="0"/>
          <w:bCs w:val="0"/>
          <w:sz w:val="18"/>
          <w:szCs w:val="18"/>
        </w:rPr>
        <w:br w:type="column"/>
      </w:r>
      <w:r>
        <w:rPr>
          <w:rFonts w:hint="eastAsia"/>
          <w:color w:val="BF5A14"/>
        </w:rPr>
        <w:lastRenderedPageBreak/>
        <w:t>Image</w:t>
      </w:r>
    </w:p>
    <w:p w:rsidR="00104744" w:rsidRDefault="00166BD9">
      <w:pPr>
        <w:pStyle w:val="Heading3"/>
        <w:spacing w:before="74"/>
        <w:rPr>
          <w:rFonts w:eastAsia="Tw Cen MT" w:hAnsi="Tw Cen MT" w:cs="Tw Cen MT"/>
          <w:b w:val="0"/>
          <w:bCs w:val="0"/>
          <w:sz w:val="18"/>
          <w:szCs w:val="18"/>
        </w:rPr>
      </w:pPr>
      <w:proofErr w:type="gramStart"/>
      <w:r>
        <w:rPr>
          <w:rFonts w:eastAsia="Tw Cen MT" w:hAnsi="Tw Cen MT" w:cs="Tw Cen MT" w:hint="eastAsia"/>
          <w:b w:val="0"/>
          <w:bCs w:val="0"/>
          <w:sz w:val="18"/>
          <w:szCs w:val="18"/>
        </w:rPr>
        <w:t>Clinical predictive model of large-volume contralateral central lymph node metastasis in papillary thyroid carcinoma patie</w:t>
      </w:r>
      <w:r>
        <w:rPr>
          <w:rFonts w:eastAsia="Tw Cen MT" w:hAnsi="Tw Cen MT" w:cs="Tw Cen MT" w:hint="eastAsia"/>
          <w:b w:val="0"/>
          <w:bCs w:val="0"/>
          <w:sz w:val="18"/>
          <w:szCs w:val="18"/>
        </w:rPr>
        <w:t>nts.</w:t>
      </w:r>
      <w:proofErr w:type="gramEnd"/>
    </w:p>
    <w:p w:rsidR="00104744" w:rsidRDefault="00166BD9">
      <w:pPr>
        <w:pStyle w:val="Heading3"/>
        <w:spacing w:before="74"/>
      </w:pPr>
      <w:r>
        <w:rPr>
          <w:rFonts w:ascii="Times New Roman Regular" w:hAnsi="Times New Roman Regular" w:cs="Times New Roman Regular" w:hint="eastAsia"/>
          <w:noProof/>
          <w:sz w:val="28"/>
          <w:szCs w:val="28"/>
          <w:lang w:val="en-IN" w:eastAsia="en-IN"/>
        </w:rPr>
        <w:drawing>
          <wp:inline distT="0" distB="0" distL="0" distR="0">
            <wp:extent cx="2881630" cy="2421255"/>
            <wp:effectExtent l="0" t="0" r="13970" b="171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1630" cy="2421255"/>
                    </a:xfrm>
                    <a:prstGeom prst="rect">
                      <a:avLst/>
                    </a:prstGeom>
                  </pic:spPr>
                </pic:pic>
              </a:graphicData>
            </a:graphic>
          </wp:inline>
        </w:drawing>
      </w:r>
      <w:r>
        <w:rPr>
          <w:color w:val="BF5A14"/>
        </w:rPr>
        <w:br/>
        <w:t>Recent Publications (minimum 5)</w:t>
      </w:r>
    </w:p>
    <w:p w:rsidR="00104744" w:rsidRDefault="00166BD9">
      <w:pPr>
        <w:pStyle w:val="ListParagraph"/>
        <w:numPr>
          <w:ilvl w:val="0"/>
          <w:numId w:val="1"/>
        </w:numPr>
        <w:tabs>
          <w:tab w:val="left" w:pos="384"/>
        </w:tabs>
        <w:spacing w:line="216" w:lineRule="exact"/>
        <w:ind w:right="137" w:hanging="283"/>
        <w:rPr>
          <w:sz w:val="18"/>
        </w:rPr>
      </w:pPr>
      <w:r>
        <w:rPr>
          <w:sz w:val="18"/>
        </w:rPr>
        <w:t>Yan S, Zhao W, Wang B, et al</w:t>
      </w:r>
      <w:proofErr w:type="gramStart"/>
      <w:r>
        <w:rPr>
          <w:sz w:val="18"/>
        </w:rPr>
        <w:t>.</w:t>
      </w:r>
      <w:r>
        <w:rPr>
          <w:sz w:val="18"/>
        </w:rPr>
        <w:t>(</w:t>
      </w:r>
      <w:proofErr w:type="gramEnd"/>
      <w:r>
        <w:rPr>
          <w:sz w:val="18"/>
        </w:rPr>
        <w:t>2018)</w:t>
      </w:r>
      <w:r>
        <w:rPr>
          <w:sz w:val="18"/>
        </w:rPr>
        <w:t xml:space="preserve"> Standardization of simple auxiliary method beneficial to total endoscopic thyroidectomy on patients with </w:t>
      </w:r>
      <w:proofErr w:type="spellStart"/>
      <w:r>
        <w:rPr>
          <w:sz w:val="18"/>
        </w:rPr>
        <w:t>PTC,based</w:t>
      </w:r>
      <w:proofErr w:type="spellEnd"/>
      <w:r>
        <w:rPr>
          <w:sz w:val="18"/>
        </w:rPr>
        <w:t xml:space="preserve"> on retrospective study of 356 cases [J]. Endocrine</w:t>
      </w:r>
      <w:proofErr w:type="gramStart"/>
      <w:r>
        <w:rPr>
          <w:sz w:val="18"/>
        </w:rPr>
        <w:t>;61</w:t>
      </w:r>
      <w:proofErr w:type="gramEnd"/>
      <w:r>
        <w:rPr>
          <w:sz w:val="18"/>
        </w:rPr>
        <w:t>(1):51–7.</w:t>
      </w:r>
    </w:p>
    <w:p w:rsidR="00104744" w:rsidRDefault="00166BD9">
      <w:pPr>
        <w:pStyle w:val="ListParagraph"/>
        <w:numPr>
          <w:ilvl w:val="0"/>
          <w:numId w:val="1"/>
        </w:numPr>
        <w:tabs>
          <w:tab w:val="left" w:pos="384"/>
        </w:tabs>
        <w:spacing w:line="216" w:lineRule="exact"/>
        <w:ind w:right="137" w:hanging="283"/>
        <w:rPr>
          <w:sz w:val="18"/>
          <w:lang w:eastAsia="zh-CN"/>
        </w:rPr>
      </w:pPr>
      <w:r>
        <w:rPr>
          <w:sz w:val="18"/>
        </w:rPr>
        <w:t>Hau</w:t>
      </w:r>
      <w:r>
        <w:rPr>
          <w:sz w:val="18"/>
        </w:rPr>
        <w:t xml:space="preserve">gen BR, Alexander EK, Bible KC, et al. </w:t>
      </w:r>
      <w:r>
        <w:rPr>
          <w:sz w:val="18"/>
        </w:rPr>
        <w:t>(</w:t>
      </w:r>
      <w:r>
        <w:rPr>
          <w:sz w:val="18"/>
        </w:rPr>
        <w:t>201</w:t>
      </w:r>
      <w:r>
        <w:rPr>
          <w:sz w:val="18"/>
        </w:rPr>
        <w:t>6) 2015</w:t>
      </w:r>
      <w:r>
        <w:rPr>
          <w:sz w:val="18"/>
        </w:rPr>
        <w:t xml:space="preserve"> Amer</w:t>
      </w:r>
      <w:r>
        <w:rPr>
          <w:sz w:val="18"/>
          <w:lang w:eastAsia="zh-CN"/>
        </w:rPr>
        <w:t xml:space="preserve">ican Thyroid Association Management Guidelines for Adult Patients with Thyroid Nodules and </w:t>
      </w:r>
      <w:proofErr w:type="spellStart"/>
      <w:r>
        <w:rPr>
          <w:sz w:val="18"/>
          <w:lang w:eastAsia="zh-CN"/>
        </w:rPr>
        <w:t>Diferentiated</w:t>
      </w:r>
      <w:proofErr w:type="spellEnd"/>
      <w:r>
        <w:rPr>
          <w:sz w:val="18"/>
          <w:lang w:eastAsia="zh-CN"/>
        </w:rPr>
        <w:t xml:space="preserve"> Thyroid Cancer: the American Thyroid Association Guidelines Task Force on Thyroid Nodules and </w:t>
      </w:r>
      <w:proofErr w:type="spellStart"/>
      <w:r>
        <w:rPr>
          <w:sz w:val="18"/>
          <w:lang w:eastAsia="zh-CN"/>
        </w:rPr>
        <w:t>Di</w:t>
      </w:r>
      <w:r>
        <w:rPr>
          <w:sz w:val="18"/>
          <w:lang w:eastAsia="zh-CN"/>
        </w:rPr>
        <w:t>ferentiated</w:t>
      </w:r>
      <w:proofErr w:type="spellEnd"/>
      <w:r>
        <w:rPr>
          <w:sz w:val="18"/>
          <w:lang w:eastAsia="zh-CN"/>
        </w:rPr>
        <w:t xml:space="preserve"> Thyroid Cancer. Thyroid</w:t>
      </w:r>
      <w:r>
        <w:rPr>
          <w:sz w:val="18"/>
          <w:lang w:eastAsia="zh-CN"/>
        </w:rPr>
        <w:t xml:space="preserve">; </w:t>
      </w:r>
      <w:r>
        <w:rPr>
          <w:sz w:val="18"/>
          <w:lang w:eastAsia="zh-CN"/>
        </w:rPr>
        <w:t>26:1–133.</w:t>
      </w:r>
    </w:p>
    <w:p w:rsidR="00104744" w:rsidRDefault="00166BD9">
      <w:pPr>
        <w:pStyle w:val="ListParagraph"/>
        <w:numPr>
          <w:ilvl w:val="0"/>
          <w:numId w:val="1"/>
        </w:numPr>
        <w:tabs>
          <w:tab w:val="left" w:pos="384"/>
        </w:tabs>
        <w:spacing w:line="216" w:lineRule="exact"/>
        <w:ind w:right="137" w:hanging="283"/>
        <w:rPr>
          <w:sz w:val="18"/>
          <w:lang w:eastAsia="zh-CN"/>
        </w:rPr>
      </w:pPr>
      <w:r>
        <w:rPr>
          <w:sz w:val="18"/>
          <w:lang w:eastAsia="zh-CN"/>
        </w:rPr>
        <w:t xml:space="preserve">Sun W, </w:t>
      </w:r>
      <w:proofErr w:type="spellStart"/>
      <w:r>
        <w:rPr>
          <w:sz w:val="18"/>
          <w:lang w:eastAsia="zh-CN"/>
        </w:rPr>
        <w:t>Zheng</w:t>
      </w:r>
      <w:proofErr w:type="spellEnd"/>
      <w:r>
        <w:rPr>
          <w:sz w:val="18"/>
          <w:lang w:eastAsia="zh-CN"/>
        </w:rPr>
        <w:t xml:space="preserve"> B, </w:t>
      </w:r>
      <w:r>
        <w:rPr>
          <w:sz w:val="18"/>
          <w:lang w:eastAsia="zh-CN"/>
        </w:rPr>
        <w:t>et al</w:t>
      </w:r>
      <w:proofErr w:type="gramStart"/>
      <w:r>
        <w:rPr>
          <w:sz w:val="18"/>
          <w:lang w:eastAsia="zh-CN"/>
        </w:rPr>
        <w:t>.</w:t>
      </w:r>
      <w:r>
        <w:rPr>
          <w:sz w:val="18"/>
          <w:lang w:eastAsia="zh-CN"/>
        </w:rPr>
        <w:t>(</w:t>
      </w:r>
      <w:proofErr w:type="gramEnd"/>
      <w:r>
        <w:rPr>
          <w:sz w:val="18"/>
          <w:lang w:eastAsia="zh-CN"/>
        </w:rPr>
        <w:t>2020)</w:t>
      </w:r>
      <w:r>
        <w:rPr>
          <w:sz w:val="18"/>
          <w:lang w:eastAsia="zh-CN"/>
        </w:rPr>
        <w:t xml:space="preserve"> Meta-analysis of risk factors for CCLNM in patients with unilateral cN0 PTC. </w:t>
      </w:r>
      <w:proofErr w:type="spellStart"/>
      <w:r>
        <w:rPr>
          <w:sz w:val="18"/>
          <w:lang w:eastAsia="zh-CN"/>
        </w:rPr>
        <w:t>Endocr</w:t>
      </w:r>
      <w:proofErr w:type="spellEnd"/>
      <w:r>
        <w:rPr>
          <w:sz w:val="18"/>
          <w:lang w:eastAsia="zh-CN"/>
        </w:rPr>
        <w:t xml:space="preserve"> Connect.11</w:t>
      </w:r>
      <w:proofErr w:type="gramStart"/>
      <w:r>
        <w:rPr>
          <w:sz w:val="18"/>
          <w:lang w:eastAsia="zh-CN"/>
        </w:rPr>
        <w:t>;9</w:t>
      </w:r>
      <w:proofErr w:type="gramEnd"/>
      <w:r>
        <w:rPr>
          <w:sz w:val="18"/>
          <w:lang w:eastAsia="zh-CN"/>
        </w:rPr>
        <w:t>(5):387-395.</w:t>
      </w:r>
    </w:p>
    <w:p w:rsidR="00104744" w:rsidRDefault="00166BD9">
      <w:pPr>
        <w:pStyle w:val="ListParagraph"/>
        <w:numPr>
          <w:ilvl w:val="0"/>
          <w:numId w:val="1"/>
        </w:numPr>
        <w:tabs>
          <w:tab w:val="left" w:pos="384"/>
        </w:tabs>
        <w:spacing w:line="216" w:lineRule="exact"/>
        <w:ind w:right="137" w:hanging="283"/>
        <w:rPr>
          <w:sz w:val="18"/>
          <w:lang w:eastAsia="zh-CN"/>
        </w:rPr>
      </w:pPr>
      <w:proofErr w:type="spellStart"/>
      <w:r>
        <w:rPr>
          <w:sz w:val="18"/>
          <w:lang w:eastAsia="zh-CN"/>
        </w:rPr>
        <w:t>Leboulleux</w:t>
      </w:r>
      <w:proofErr w:type="spellEnd"/>
      <w:r>
        <w:rPr>
          <w:sz w:val="18"/>
          <w:lang w:eastAsia="zh-CN"/>
        </w:rPr>
        <w:t xml:space="preserve"> S, </w:t>
      </w:r>
      <w:proofErr w:type="spellStart"/>
      <w:r>
        <w:rPr>
          <w:sz w:val="18"/>
          <w:lang w:eastAsia="zh-CN"/>
        </w:rPr>
        <w:t>Rubino</w:t>
      </w:r>
      <w:proofErr w:type="spellEnd"/>
      <w:r>
        <w:rPr>
          <w:sz w:val="18"/>
          <w:lang w:eastAsia="zh-CN"/>
        </w:rPr>
        <w:t xml:space="preserve"> C, </w:t>
      </w:r>
      <w:proofErr w:type="spellStart"/>
      <w:r>
        <w:rPr>
          <w:sz w:val="18"/>
          <w:lang w:eastAsia="zh-CN"/>
        </w:rPr>
        <w:t>Baudin</w:t>
      </w:r>
      <w:proofErr w:type="spellEnd"/>
      <w:r>
        <w:rPr>
          <w:sz w:val="18"/>
          <w:lang w:eastAsia="zh-CN"/>
        </w:rPr>
        <w:t xml:space="preserve"> E, </w:t>
      </w:r>
      <w:r>
        <w:rPr>
          <w:sz w:val="18"/>
          <w:lang w:eastAsia="zh-CN"/>
        </w:rPr>
        <w:t>et al</w:t>
      </w:r>
      <w:r>
        <w:rPr>
          <w:sz w:val="18"/>
          <w:lang w:eastAsia="zh-CN"/>
        </w:rPr>
        <w:t>.</w:t>
      </w:r>
      <w:r>
        <w:rPr>
          <w:sz w:val="18"/>
          <w:lang w:eastAsia="zh-CN"/>
        </w:rPr>
        <w:t>(20</w:t>
      </w:r>
      <w:r>
        <w:rPr>
          <w:sz w:val="18"/>
          <w:lang w:eastAsia="zh-CN"/>
        </w:rPr>
        <w:t>05</w:t>
      </w:r>
      <w:r>
        <w:rPr>
          <w:sz w:val="18"/>
          <w:lang w:eastAsia="zh-CN"/>
        </w:rPr>
        <w:t>)</w:t>
      </w:r>
      <w:r>
        <w:rPr>
          <w:sz w:val="18"/>
          <w:lang w:eastAsia="zh-CN"/>
        </w:rPr>
        <w:t xml:space="preserve"> Prognostic factors for p</w:t>
      </w:r>
      <w:r>
        <w:rPr>
          <w:sz w:val="18"/>
          <w:lang w:eastAsia="zh-CN"/>
        </w:rPr>
        <w:t xml:space="preserve">ersistent or recurrent disease of papillary thyroid carcinoma with neck lymph node metastases and/or tumor extension beyond the thyroid capsule at initial diagnosis. J </w:t>
      </w:r>
      <w:proofErr w:type="spellStart"/>
      <w:r>
        <w:rPr>
          <w:sz w:val="18"/>
          <w:lang w:eastAsia="zh-CN"/>
        </w:rPr>
        <w:t>Clin</w:t>
      </w:r>
      <w:proofErr w:type="spellEnd"/>
      <w:r>
        <w:rPr>
          <w:sz w:val="18"/>
          <w:lang w:eastAsia="zh-CN"/>
        </w:rPr>
        <w:t xml:space="preserve"> </w:t>
      </w:r>
      <w:proofErr w:type="spellStart"/>
      <w:r>
        <w:rPr>
          <w:sz w:val="18"/>
          <w:lang w:eastAsia="zh-CN"/>
        </w:rPr>
        <w:t>Endocrinol</w:t>
      </w:r>
      <w:proofErr w:type="spellEnd"/>
      <w:r>
        <w:rPr>
          <w:sz w:val="18"/>
          <w:lang w:eastAsia="zh-CN"/>
        </w:rPr>
        <w:t xml:space="preserve"> </w:t>
      </w:r>
      <w:proofErr w:type="spellStart"/>
      <w:r>
        <w:rPr>
          <w:sz w:val="18"/>
          <w:lang w:eastAsia="zh-CN"/>
        </w:rPr>
        <w:t>Metab</w:t>
      </w:r>
      <w:proofErr w:type="spellEnd"/>
      <w:r>
        <w:rPr>
          <w:sz w:val="18"/>
          <w:lang w:eastAsia="zh-CN"/>
        </w:rPr>
        <w:t>;</w:t>
      </w:r>
      <w:r>
        <w:rPr>
          <w:sz w:val="18"/>
          <w:lang w:eastAsia="zh-CN"/>
        </w:rPr>
        <w:t xml:space="preserve"> </w:t>
      </w:r>
      <w:r>
        <w:rPr>
          <w:sz w:val="18"/>
          <w:lang w:eastAsia="zh-CN"/>
        </w:rPr>
        <w:t>90(10):5723-9.</w:t>
      </w:r>
    </w:p>
    <w:p w:rsidR="00104744" w:rsidRDefault="00166BD9">
      <w:pPr>
        <w:pStyle w:val="ListParagraph"/>
        <w:numPr>
          <w:ilvl w:val="0"/>
          <w:numId w:val="1"/>
        </w:numPr>
        <w:tabs>
          <w:tab w:val="left" w:pos="384"/>
        </w:tabs>
        <w:spacing w:line="216" w:lineRule="exact"/>
        <w:ind w:right="137" w:hanging="283"/>
        <w:rPr>
          <w:sz w:val="18"/>
          <w:lang w:eastAsia="zh-CN"/>
        </w:rPr>
      </w:pPr>
      <w:r>
        <w:rPr>
          <w:sz w:val="18"/>
          <w:lang w:eastAsia="zh-CN"/>
        </w:rPr>
        <w:t xml:space="preserve">Randolph GW, Duh QY, Heller KS, </w:t>
      </w:r>
      <w:r>
        <w:rPr>
          <w:sz w:val="18"/>
          <w:lang w:eastAsia="zh-CN"/>
        </w:rPr>
        <w:t>et al</w:t>
      </w:r>
      <w:proofErr w:type="gramStart"/>
      <w:r>
        <w:rPr>
          <w:sz w:val="18"/>
          <w:lang w:eastAsia="zh-CN"/>
        </w:rPr>
        <w:t>.</w:t>
      </w:r>
      <w:r>
        <w:rPr>
          <w:sz w:val="18"/>
          <w:lang w:eastAsia="zh-CN"/>
        </w:rPr>
        <w:t>(</w:t>
      </w:r>
      <w:proofErr w:type="gramEnd"/>
      <w:r>
        <w:rPr>
          <w:sz w:val="18"/>
          <w:lang w:eastAsia="zh-CN"/>
        </w:rPr>
        <w:t>20</w:t>
      </w:r>
      <w:r>
        <w:rPr>
          <w:sz w:val="18"/>
          <w:lang w:eastAsia="zh-CN"/>
        </w:rPr>
        <w:t>12</w:t>
      </w:r>
      <w:r>
        <w:rPr>
          <w:sz w:val="18"/>
          <w:lang w:eastAsia="zh-CN"/>
        </w:rPr>
        <w:t>)</w:t>
      </w:r>
      <w:r>
        <w:rPr>
          <w:sz w:val="18"/>
          <w:lang w:eastAsia="zh-CN"/>
        </w:rPr>
        <w:t xml:space="preserve"> American Thyroid Association Surgical Affairs Committee’s Taskforce on Thyroid Cancer Nodal Surgery. The prognostic significance of nodal metastases from papillary thyroid carcinoma can be stratified based on the size and number of metastatic lymph nodes,</w:t>
      </w:r>
      <w:r>
        <w:rPr>
          <w:sz w:val="18"/>
          <w:lang w:eastAsia="zh-CN"/>
        </w:rPr>
        <w:t xml:space="preserve"> as well as the presence of </w:t>
      </w:r>
      <w:proofErr w:type="spellStart"/>
      <w:r>
        <w:rPr>
          <w:sz w:val="18"/>
          <w:lang w:eastAsia="zh-CN"/>
        </w:rPr>
        <w:t>extranodal</w:t>
      </w:r>
      <w:proofErr w:type="spellEnd"/>
      <w:r>
        <w:rPr>
          <w:sz w:val="18"/>
          <w:lang w:eastAsia="zh-CN"/>
        </w:rPr>
        <w:t xml:space="preserve"> extension. Thyroid</w:t>
      </w:r>
      <w:proofErr w:type="gramStart"/>
      <w:r>
        <w:rPr>
          <w:sz w:val="18"/>
          <w:lang w:eastAsia="zh-CN"/>
        </w:rPr>
        <w:t>;22</w:t>
      </w:r>
      <w:proofErr w:type="gramEnd"/>
      <w:r>
        <w:rPr>
          <w:sz w:val="18"/>
          <w:lang w:eastAsia="zh-CN"/>
        </w:rPr>
        <w:t>(11):1144-52.</w:t>
      </w:r>
    </w:p>
    <w:p w:rsidR="00104744" w:rsidRDefault="00104744">
      <w:pPr>
        <w:tabs>
          <w:tab w:val="left" w:pos="384"/>
        </w:tabs>
        <w:ind w:right="117"/>
      </w:pPr>
    </w:p>
    <w:p w:rsidR="00104744" w:rsidRDefault="00166BD9">
      <w:pPr>
        <w:spacing w:line="200" w:lineRule="exact"/>
        <w:jc w:val="both"/>
        <w:rPr>
          <w:rFonts w:ascii="Calibri" w:hAnsi="Calibri"/>
        </w:rPr>
        <w:sectPr w:rsidR="00104744">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104744" w:rsidRDefault="00104744">
      <w:pPr>
        <w:pStyle w:val="BodyText"/>
        <w:rPr>
          <w:rFonts w:ascii="Calibri"/>
          <w:sz w:val="20"/>
        </w:rPr>
      </w:pPr>
    </w:p>
    <w:p w:rsidR="00104744" w:rsidRDefault="00166B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xmlns:wpsCustomData="http://www.wps.cn/officeDocument/2013/wpsCustomData" xmlns:w15="http://schemas.microsoft.com/office/word/2012/wordml">
            <w:pict>
              <v:group id="Group 4" o:spid="_x0000_s1026" o:spt="203" style="height:2pt;width:313.05pt;" coordsize="6261,40" o:gfxdata="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Jkl&#10;EGHUAAAAAwEAAA8AAAAAAAAAAQAgAAAAOAAAAGRycy9kb3ducmV2LnhtbFBLAQIUABQAAAAIAIdO&#10;4kBcG6qHEQIAAJUEAAAOAAAAAAAAAAEAIAAAADkBAABkcnMvZTJvRG9jLnhtbFBLBQYAAAAABgAG&#10;AFkBAAC8BQAAAAA=&#10;">
                <o:lock v:ext="edit" aspectratio="f"/>
                <v:line id="Line 5" o:spid="_x0000_s1026" o:spt="20" style="position:absolute;left:20;top:20;height:0;width:6221;" filled="f" stroked="t" coordsize="21600,21600" o:gfxdata="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AJe08buQAAANsAAAAPAAAAAAAAAAEAIAAAADgAAABkcnMvZG93bnJldi54bWxQ&#10;SwECFAAUAAAACACHTuJAMy8FnjsAAAA5AAAAEAAAAAAAAAABACAAAAAeAQAAZHJzL3NoYXBleG1s&#10;LnhtbFBLBQYAAAAABgAGAFsBAADIAwAAAAA=&#10;">
                  <v:fill on="f" focussize="0,0"/>
                  <v:stroke weight="2pt" color="#004080" joinstyle="round"/>
                  <v:imagedata o:title=""/>
                  <o:lock v:ext="edit" aspectratio="f"/>
                </v:line>
                <w10:wrap type="none"/>
                <w10:anchorlock/>
              </v:group>
            </w:pict>
          </mc:Fallback>
        </mc:AlternateContent>
      </w:r>
    </w:p>
    <w:p w:rsidR="00104744" w:rsidRDefault="00166BD9">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1312" behindDoc="0" locked="0" layoutInCell="1" allowOverlap="1">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ln>
                        <a:effectLst/>
                      </wps:spPr>
                      <wps:txbx>
                        <w:txbxContent>
                          <w:p w:rsidR="00104744" w:rsidRDefault="00166BD9">
                            <w:pPr>
                              <w:rPr>
                                <w:b/>
                                <w:color w:val="0000FF"/>
                              </w:rPr>
                            </w:pPr>
                            <w:r>
                              <w:rPr>
                                <w:b/>
                                <w:noProof/>
                                <w:color w:val="0000FF"/>
                                <w:lang w:val="en-IN" w:eastAsia="en-IN"/>
                              </w:rPr>
                              <w:drawing>
                                <wp:inline distT="0" distB="0" distL="114300" distR="114300">
                                  <wp:extent cx="464185" cy="464185"/>
                                  <wp:effectExtent l="0" t="0" r="18415" b="18415"/>
                                  <wp:docPr id="11" name="图片 11" descr="市一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市一logo "/>
                                          <pic:cNvPicPr>
                                            <a:picLocks noChangeAspect="1"/>
                                          </pic:cNvPicPr>
                                        </pic:nvPicPr>
                                        <pic:blipFill>
                                          <a:blip r:embed="rId11"/>
                                          <a:stretch>
                                            <a:fillRect/>
                                          </a:stretch>
                                        </pic:blipFill>
                                        <pic:spPr>
                                          <a:xfrm>
                                            <a:off x="0" y="0"/>
                                            <a:ext cx="464185" cy="46418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anchor>
            </w:drawing>
          </mc:Choice>
          <mc:Fallback xmlns:wpsCustomData="http://www.wps.cn/officeDocument/2013/wpsCustomData" xmlns:w15="http://schemas.microsoft.com/office/word/2012/wordml">
            <w:pict>
              <v:roundrect id="Rounded Rectangle 2" o:spid="_x0000_s1026" o:spt="2" style="position:absolute;left:0pt;margin-left:445.35pt;margin-top:4.45pt;height:44.9pt;width:79.7pt;z-index:251661312;mso-width-relative:page;mso-height-relative:page;" fillcolor="#FFFFFF" filled="t" stroked="t" coordsize="21600,21600" arcsize="0.166666666666667" o:gfxdata="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BYAAABkcnMvUEsBAhQAFAAA&#10;AAgAh07iQJSLOXTWAAAACQEAAA8AAAAAAAAAAQAgAAAAOAAAAGRycy9kb3ducmV2LnhtbFBLAQIU&#10;ABQAAAAIAIdO4kD/Jdi5UQIAALgEAAAOAAAAAAAAAAEAIAAAADsBAABkcnMvZTJvRG9jLnhtbFBL&#10;BQYAAAAABgAGAFkBAAD+BQAAAAA=&#10;">
                <v:fill on="t" focussize="0,0"/>
                <v:stroke weight="2.5pt" color="#9BBB59" joinstyle="round"/>
                <v:imagedata o:title=""/>
                <o:lock v:ext="edit" aspectratio="f"/>
                <v:textbox>
                  <w:txbxContent>
                    <w:p>
                      <w:pPr>
                        <w:rPr>
                          <w:rFonts w:hint="default"/>
                          <w:b/>
                          <w:color w:val="0000FF"/>
                        </w:rPr>
                      </w:pPr>
                      <w:r>
                        <w:rPr>
                          <w:rFonts w:hint="default"/>
                          <w:b/>
                          <w:color w:val="0000FF"/>
                        </w:rPr>
                        <w:drawing>
                          <wp:inline distT="0" distB="0" distL="114300" distR="114300">
                            <wp:extent cx="464185" cy="464185"/>
                            <wp:effectExtent l="0" t="0" r="18415" b="18415"/>
                            <wp:docPr id="11" name="图片 11" descr="市一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市一logo "/>
                                    <pic:cNvPicPr>
                                      <a:picLocks noChangeAspect="1"/>
                                    </pic:cNvPicPr>
                                  </pic:nvPicPr>
                                  <pic:blipFill>
                                    <a:blip r:embed="rId12"/>
                                    <a:stretch>
                                      <a:fillRect/>
                                    </a:stretch>
                                  </pic:blipFill>
                                  <pic:spPr>
                                    <a:xfrm>
                                      <a:off x="0" y="0"/>
                                      <a:ext cx="464185" cy="464185"/>
                                    </a:xfrm>
                                    <a:prstGeom prst="rect">
                                      <a:avLst/>
                                    </a:prstGeom>
                                  </pic:spPr>
                                </pic:pic>
                              </a:graphicData>
                            </a:graphic>
                          </wp:inline>
                        </w:drawing>
                      </w:r>
                    </w:p>
                  </w:txbxContent>
                </v:textbox>
              </v:roundrect>
            </w:pict>
          </mc:Fallback>
        </mc:AlternateContent>
      </w:r>
      <w:r>
        <w:t xml:space="preserve">              </w:t>
      </w:r>
      <w:r>
        <w:rPr>
          <w:b/>
          <w:noProof/>
          <w:color w:val="0000FF"/>
          <w:lang w:val="en-IN" w:eastAsia="en-IN"/>
        </w:rPr>
        <w:drawing>
          <wp:inline distT="0" distB="0" distL="114300" distR="114300">
            <wp:extent cx="364490" cy="504190"/>
            <wp:effectExtent l="0" t="0" r="16510" b="3810"/>
            <wp:docPr id="10" name="图片 10" descr="医师照2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医师照2寸"/>
                    <pic:cNvPicPr>
                      <a:picLocks noChangeAspect="1"/>
                    </pic:cNvPicPr>
                  </pic:nvPicPr>
                  <pic:blipFill>
                    <a:blip r:embed="rId13"/>
                    <a:stretch>
                      <a:fillRect/>
                    </a:stretch>
                  </pic:blipFill>
                  <pic:spPr>
                    <a:xfrm>
                      <a:off x="0" y="0"/>
                      <a:ext cx="364490" cy="504190"/>
                    </a:xfrm>
                    <a:prstGeom prst="rect">
                      <a:avLst/>
                    </a:prstGeom>
                  </pic:spPr>
                </pic:pic>
              </a:graphicData>
            </a:graphic>
          </wp:inline>
        </w:drawing>
      </w:r>
      <w:r>
        <w:rPr>
          <w:rFonts w:ascii="Arial"/>
          <w:color w:val="BF5A14"/>
        </w:rPr>
        <w:t>Biography (150 word limit)</w:t>
      </w:r>
      <w:r>
        <w:rPr>
          <w:rFonts w:ascii="Times New Roman" w:hAnsi="Times New Roman" w:cs="Times New Roman"/>
          <w:sz w:val="24"/>
          <w:szCs w:val="24"/>
        </w:rPr>
        <w:t xml:space="preserve"> </w:t>
      </w:r>
    </w:p>
    <w:p w:rsidR="00104744" w:rsidRDefault="00166BD9">
      <w:pPr>
        <w:spacing w:before="41" w:line="154" w:lineRule="exact"/>
        <w:ind w:left="213" w:right="231"/>
        <w:jc w:val="both"/>
        <w:rPr>
          <w:rFonts w:ascii="Arial"/>
          <w:sz w:val="14"/>
        </w:rPr>
      </w:pPr>
      <w:r>
        <w:rPr>
          <w:rFonts w:ascii="Arial" w:hint="eastAsia"/>
          <w:sz w:val="14"/>
        </w:rPr>
        <w:t xml:space="preserve">Dr. </w:t>
      </w:r>
      <w:r>
        <w:rPr>
          <w:rFonts w:ascii="Arial"/>
          <w:sz w:val="14"/>
        </w:rPr>
        <w:t xml:space="preserve">Yu </w:t>
      </w:r>
      <w:proofErr w:type="spellStart"/>
      <w:r>
        <w:rPr>
          <w:rFonts w:ascii="Arial"/>
          <w:sz w:val="14"/>
        </w:rPr>
        <w:t>zhang</w:t>
      </w:r>
      <w:r>
        <w:rPr>
          <w:rFonts w:ascii="Arial" w:hint="eastAsia"/>
          <w:sz w:val="14"/>
        </w:rPr>
        <w:t>'s</w:t>
      </w:r>
      <w:proofErr w:type="spellEnd"/>
      <w:r>
        <w:rPr>
          <w:rFonts w:ascii="Arial" w:hint="eastAsia"/>
          <w:sz w:val="14"/>
        </w:rPr>
        <w:t xml:space="preserve"> research focuses on the clinical and molecular pathogenesis of thyroid tumors, </w:t>
      </w:r>
      <w:r>
        <w:rPr>
          <w:rFonts w:ascii="Arial" w:hint="eastAsia"/>
          <w:sz w:val="14"/>
        </w:rPr>
        <w:t>parathyroid diseases, breast tumors, etc. So far, he has been engaged in clinical diagnosis, treatment, scientific research, teaching and science popularization of common tumor diseases, especially the diagnosis, treatment and research of thyroid tumors. H</w:t>
      </w:r>
      <w:r>
        <w:rPr>
          <w:rFonts w:ascii="Arial" w:hint="eastAsia"/>
          <w:sz w:val="14"/>
        </w:rPr>
        <w:t>e has strong clinical diagnosis, treatment and scientific research capabilities. He has now participated in a number of scientific research projects at the provincial, departmental and bureau levels, and issued nearly 10 scientific research papers (includi</w:t>
      </w:r>
      <w:r>
        <w:rPr>
          <w:rFonts w:ascii="Arial" w:hint="eastAsia"/>
          <w:sz w:val="14"/>
        </w:rPr>
        <w:t>ng 6 SCI) as the first author.</w:t>
      </w:r>
    </w:p>
    <w:p w:rsidR="00104744" w:rsidRDefault="00166BD9">
      <w:pPr>
        <w:spacing w:before="62"/>
        <w:ind w:left="4217" w:right="4235"/>
        <w:jc w:val="center"/>
        <w:rPr>
          <w:rFonts w:ascii="Arial"/>
          <w:sz w:val="14"/>
        </w:rPr>
      </w:pPr>
      <w:r>
        <w:rPr>
          <w:rFonts w:ascii="Arial"/>
          <w:sz w:val="14"/>
        </w:rPr>
        <w:t xml:space="preserve">Email: </w:t>
      </w:r>
      <w:r>
        <w:rPr>
          <w:rFonts w:ascii="Arial"/>
          <w:sz w:val="14"/>
        </w:rPr>
        <w:t>zhangyunjmu</w:t>
      </w:r>
      <w:hyperlink r:id="rId14" w:history="1">
        <w:r>
          <w:rPr>
            <w:rStyle w:val="Hyperlink"/>
            <w:rFonts w:ascii="Arial"/>
            <w:sz w:val="14"/>
          </w:rPr>
          <w:t>@</w:t>
        </w:r>
        <w:r>
          <w:rPr>
            <w:rStyle w:val="Hyperlink"/>
            <w:rFonts w:ascii="Arial"/>
            <w:sz w:val="14"/>
          </w:rPr>
          <w:t>126</w:t>
        </w:r>
        <w:r>
          <w:rPr>
            <w:rStyle w:val="Hyperlink"/>
            <w:rFonts w:ascii="Arial"/>
            <w:sz w:val="14"/>
          </w:rPr>
          <w:t>.com</w:t>
        </w:r>
      </w:hyperlink>
    </w:p>
    <w:p w:rsidR="00104744" w:rsidRDefault="00166BD9">
      <w:pPr>
        <w:pStyle w:val="BodyText"/>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xmlns:wpsCustomData="http://www.wps.cn/officeDocument/2013/wpsCustomData" xmlns:w15="http://schemas.microsoft.com/office/word/2012/wordml">
            <w:pict>
              <v:line id="Line 3" o:spid="_x0000_s1026" o:spt="20" style="position:absolute;left:0pt;margin-left:162.1pt;margin-top:13.25pt;height:0pt;width:271.05pt;mso-position-horizontal-relative:page;mso-wrap-distance-bottom:0pt;mso-wrap-distance-top:0pt;z-index:251659264;mso-width-relative:page;mso-height-relative:page;" filled="f" stroked="t" coordsize="21600,21600" o:gfxdata="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FgAAAGRycy9QSwECFAAUAAAACACHTuJADilAb9YAAAAJAQAA&#10;DwAAAAAAAAABACAAAAA4AAAAZHJzL2Rvd25yZXYueG1sUEsBAhQAFAAAAAgAh07iQI2PukbMAQAA&#10;oAMAAA4AAAAAAAAAAQAgAAAAOwEAAGRycy9lMm9Eb2MueG1sUEsFBgAAAAAGAAYAWQEAAHkFAAAA&#10;AA==&#10;">
                <v:fill on="f" focussize="0,0"/>
                <v:stroke weight="0.5pt" color="#004080" joinstyle="round"/>
                <v:imagedata o:title=""/>
                <o:lock v:ext="edit" aspectratio="f"/>
                <w10:wrap type="topAndBottom"/>
              </v:line>
            </w:pict>
          </mc:Fallback>
        </mc:AlternateContent>
      </w:r>
    </w:p>
    <w:p w:rsidR="00104744" w:rsidRDefault="00104744">
      <w:pPr>
        <w:pStyle w:val="BodyText"/>
        <w:rPr>
          <w:rFonts w:ascii="Arial"/>
          <w:sz w:val="20"/>
        </w:rPr>
      </w:pPr>
    </w:p>
    <w:p w:rsidR="00104744" w:rsidRDefault="00104744">
      <w:pPr>
        <w:pStyle w:val="BodyText"/>
        <w:rPr>
          <w:rFonts w:ascii="Arial"/>
          <w:sz w:val="20"/>
        </w:rPr>
      </w:pPr>
    </w:p>
    <w:p w:rsidR="00104744" w:rsidRDefault="00104744">
      <w:pPr>
        <w:pStyle w:val="BodyText"/>
        <w:spacing w:before="7"/>
        <w:rPr>
          <w:rFonts w:ascii="Arial"/>
          <w:sz w:val="29"/>
        </w:rPr>
      </w:pPr>
    </w:p>
    <w:p w:rsidR="00104744" w:rsidRDefault="00166BD9">
      <w:pPr>
        <w:spacing w:before="39"/>
        <w:ind w:left="100"/>
        <w:rPr>
          <w:rFonts w:ascii="Minion Pro"/>
          <w:b/>
          <w:sz w:val="20"/>
        </w:rPr>
      </w:pPr>
      <w:r>
        <w:rPr>
          <w:rFonts w:ascii="Minion Pro"/>
          <w:b/>
          <w:sz w:val="20"/>
        </w:rPr>
        <w:t>Notes/Comments:</w:t>
      </w:r>
    </w:p>
    <w:p w:rsidR="00104744" w:rsidRDefault="00104744">
      <w:pPr>
        <w:spacing w:before="39"/>
        <w:ind w:left="100"/>
        <w:rPr>
          <w:rFonts w:ascii="Minion Pro"/>
          <w:b/>
          <w:sz w:val="20"/>
        </w:rPr>
      </w:pPr>
    </w:p>
    <w:p w:rsidR="00104744" w:rsidRDefault="00104744">
      <w:pPr>
        <w:spacing w:before="39"/>
        <w:ind w:left="100"/>
        <w:rPr>
          <w:rFonts w:ascii="Minion Pro"/>
          <w:b/>
          <w:sz w:val="20"/>
        </w:rPr>
      </w:pPr>
    </w:p>
    <w:p w:rsidR="00104744" w:rsidRDefault="00166BD9">
      <w:pPr>
        <w:autoSpaceDE w:val="0"/>
        <w:autoSpaceDN w:val="0"/>
        <w:adjustRightInd w:val="0"/>
        <w:rPr>
          <w:b/>
          <w:sz w:val="20"/>
          <w:szCs w:val="20"/>
          <w:lang w:val="en-NZ"/>
        </w:rPr>
      </w:pPr>
      <w:r>
        <w:rPr>
          <w:b/>
          <w:sz w:val="20"/>
          <w:szCs w:val="20"/>
          <w:lang w:val="en-NZ"/>
        </w:rPr>
        <w:t xml:space="preserve">Presenting author details </w:t>
      </w:r>
      <w:r>
        <w:rPr>
          <w:b/>
          <w:sz w:val="20"/>
          <w:szCs w:val="20"/>
          <w:lang w:val="en-NZ"/>
        </w:rPr>
        <w:br/>
      </w:r>
      <w:r>
        <w:rPr>
          <w:sz w:val="20"/>
          <w:szCs w:val="20"/>
          <w:lang w:val="en-NZ"/>
        </w:rPr>
        <w:t xml:space="preserve">Full name: </w:t>
      </w:r>
      <w:bookmarkStart w:id="0" w:name="_GoBack"/>
      <w:r>
        <w:rPr>
          <w:sz w:val="20"/>
          <w:szCs w:val="20"/>
        </w:rPr>
        <w:t xml:space="preserve">Yu </w:t>
      </w:r>
      <w:proofErr w:type="spellStart"/>
      <w:r>
        <w:rPr>
          <w:sz w:val="20"/>
          <w:szCs w:val="20"/>
        </w:rPr>
        <w:t>zhang</w:t>
      </w:r>
      <w:proofErr w:type="spellEnd"/>
      <w:r>
        <w:rPr>
          <w:sz w:val="20"/>
          <w:szCs w:val="20"/>
          <w:lang w:val="en-NZ"/>
        </w:rPr>
        <w:br/>
      </w:r>
      <w:bookmarkEnd w:id="0"/>
      <w:r>
        <w:rPr>
          <w:sz w:val="20"/>
          <w:szCs w:val="20"/>
          <w:lang w:val="en-NZ"/>
        </w:rPr>
        <w:t>Contact number:</w:t>
      </w:r>
      <w:r>
        <w:rPr>
          <w:sz w:val="20"/>
          <w:szCs w:val="20"/>
        </w:rPr>
        <w:t xml:space="preserve"> +86-15105815199</w:t>
      </w:r>
      <w:r>
        <w:rPr>
          <w:sz w:val="20"/>
          <w:szCs w:val="20"/>
          <w:lang w:val="en-NZ"/>
        </w:rPr>
        <w:br/>
        <w:t>Twitter account</w:t>
      </w:r>
      <w:proofErr w:type="gramStart"/>
      <w:r>
        <w:rPr>
          <w:sz w:val="20"/>
          <w:szCs w:val="20"/>
          <w:lang w:val="en-NZ"/>
        </w:rPr>
        <w:t>:</w:t>
      </w:r>
      <w:proofErr w:type="gramEnd"/>
      <w:r>
        <w:rPr>
          <w:sz w:val="20"/>
          <w:szCs w:val="20"/>
          <w:lang w:val="en-NZ"/>
        </w:rPr>
        <w:br/>
        <w:t>Linked In account:</w:t>
      </w:r>
    </w:p>
    <w:p w:rsidR="00104744" w:rsidRDefault="00166BD9">
      <w:pPr>
        <w:autoSpaceDE w:val="0"/>
        <w:autoSpaceDN w:val="0"/>
        <w:adjustRightInd w:val="0"/>
        <w:rPr>
          <w:rFonts w:ascii="Minion Pro"/>
          <w:b/>
          <w:sz w:val="20"/>
        </w:rPr>
        <w:sectPr w:rsidR="00104744">
          <w:type w:val="continuous"/>
          <w:pgSz w:w="11910" w:h="16840"/>
          <w:pgMar w:top="995" w:right="600" w:bottom="840" w:left="620" w:header="720" w:footer="720" w:gutter="0"/>
          <w:cols w:space="720"/>
        </w:sectPr>
      </w:pPr>
      <w:r>
        <w:rPr>
          <w:sz w:val="20"/>
          <w:szCs w:val="20"/>
          <w:lang w:val="en-NZ"/>
        </w:rPr>
        <w:t xml:space="preserve">Session name/ number: </w:t>
      </w:r>
      <w:r>
        <w:rPr>
          <w:sz w:val="20"/>
          <w:szCs w:val="20"/>
          <w:lang w:val="en-NZ"/>
        </w:rPr>
        <w:br/>
        <w:t>Category: (Oral presentation/ Poster presentation)</w:t>
      </w:r>
      <w:r>
        <w:rPr>
          <w:sz w:val="20"/>
          <w:szCs w:val="20"/>
        </w:rPr>
        <w:t xml:space="preserve">: </w:t>
      </w:r>
      <w:r>
        <w:rPr>
          <w:sz w:val="20"/>
          <w:szCs w:val="20"/>
          <w:lang w:val="en-NZ"/>
        </w:rPr>
        <w:t>Oral presentation</w:t>
      </w:r>
    </w:p>
    <w:p w:rsidR="00104744" w:rsidRDefault="00104744">
      <w:pPr>
        <w:jc w:val="both"/>
        <w:rPr>
          <w:rFonts w:ascii="Minion Pro"/>
          <w:sz w:val="26"/>
        </w:rPr>
      </w:pPr>
    </w:p>
    <w:sectPr w:rsidR="0010474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6BD9" w:rsidRDefault="00166BD9">
      <w:r>
        <w:separator/>
      </w:r>
    </w:p>
  </w:endnote>
  <w:endnote w:type="continuationSeparator" w:id="0">
    <w:p w:rsidR="00166BD9" w:rsidRDefault="00166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苹方-简"/>
    <w:panose1 w:val="020B0602020104020603"/>
    <w:charset w:val="00"/>
    <w:family w:val="swiss"/>
    <w:pitch w:val="variable"/>
    <w:sig w:usb0="00000007" w:usb1="00000000" w:usb2="00000000" w:usb3="00000000" w:csb0="00000003" w:csb1="00000000"/>
  </w:font>
  <w:font w:name="Minion Pro">
    <w:altName w:val="Times New Roman"/>
    <w:charset w:val="00"/>
    <w:family w:val="roman"/>
    <w:pitch w:val="default"/>
    <w:sig w:usb0="00000000"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Times New Roman Regular">
    <w:altName w:val="Times New Roman"/>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744" w:rsidRDefault="00166BD9">
    <w:pPr>
      <w:pStyle w:val="BodyText"/>
      <w:spacing w:line="14" w:lineRule="auto"/>
      <w:rPr>
        <w:sz w:val="20"/>
      </w:rPr>
    </w:pPr>
    <w:r>
      <w:rPr>
        <w:noProof/>
        <w:lang w:val="en-IN" w:eastAsia="en-IN"/>
      </w:rPr>
      <mc:AlternateContent>
        <mc:Choice Requires="wps">
          <w:drawing>
            <wp:anchor distT="0" distB="0" distL="114300" distR="114300" simplePos="0" relativeHeight="251656704"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rsidR="00104744" w:rsidRDefault="00166BD9">
                          <w:pPr>
                            <w:spacing w:line="184" w:lineRule="exact"/>
                            <w:ind w:left="20" w:right="-12"/>
                            <w:rPr>
                              <w:rFonts w:ascii="Arial"/>
                              <w:color w:val="FFFFFF" w:themeColor="background1"/>
                              <w:sz w:val="16"/>
                            </w:rPr>
                          </w:pPr>
                          <w:r>
                            <w:rPr>
                              <w:rFonts w:ascii="Arial"/>
                              <w:color w:val="FFFFFF" w:themeColor="background1"/>
                              <w:sz w:val="16"/>
                            </w:rPr>
                            <w:t>J Pain Relief</w:t>
                          </w:r>
                        </w:p>
                        <w:p w:rsidR="00104744" w:rsidRDefault="00166BD9">
                          <w:pPr>
                            <w:spacing w:before="8"/>
                            <w:ind w:left="20" w:right="-12"/>
                            <w:rPr>
                              <w:rFonts w:ascii="Arial"/>
                              <w:color w:val="FFFFFF" w:themeColor="background1"/>
                              <w:sz w:val="16"/>
                            </w:rPr>
                          </w:pPr>
                          <w:r>
                            <w:rPr>
                              <w:rFonts w:ascii="Arial"/>
                              <w:color w:val="FFFFFF" w:themeColor="background1"/>
                              <w:sz w:val="16"/>
                            </w:rPr>
                            <w:t xml:space="preserve">ISSN: </w:t>
                          </w:r>
                          <w:r>
                            <w:rPr>
                              <w:rFonts w:ascii="Arial"/>
                              <w:color w:val="FFFFFF" w:themeColor="background1"/>
                              <w:sz w:val="16"/>
                            </w:rPr>
                            <w:t xml:space="preserve">2167-0846 JPAR an open access </w:t>
                          </w:r>
                          <w:proofErr w:type="spellStart"/>
                          <w:r>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anchor>
          </w:drawing>
        </mc:Choice>
        <mc:Fallback xmlns:wpsCustomData="http://www.wps.cn/officeDocument/2013/wpsCustomData" xmlns:w15="http://schemas.microsoft.com/office/word/2012/wordml">
          <w:pict>
            <v:shape id="Text Box 3" o:spid="_x0000_s1026" o:spt="202" type="#_x0000_t202" style="position:absolute;left:0pt;margin-left:35pt;margin-top:798.8pt;height:19.6pt;width:168.2pt;mso-position-horizontal-relative:page;mso-position-vertical-relative:page;z-index:-251654144;mso-width-relative:page;mso-height-relative:page;" filled="f" stroked="f" coordsize="21600,21600" o:gfxdata="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WAAAAZHJzL1BLAQIUABQAAAAIAIdO4kAQCW6k2gAAAAwBAAAPAAAA&#10;AAAAAAEAIAAAADgAAABkcnMvZG93bnJldi54bWxQSwECFAAUAAAACACHTuJAeyk7Sf0BAAAEBAAA&#10;DgAAAAAAAAABACAAAAA/AQAAZHJzL2Uyb0RvYy54bWxQSwUGAAAAAAYABgBZAQAArgU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w:rPr>
        <w:noProof/>
        <w:lang w:val="en-IN" w:eastAsia="en-IN"/>
      </w:rPr>
      <mc:AlternateContent>
        <mc:Choice Requires="wps">
          <w:drawing>
            <wp:anchor distT="0" distB="0" distL="114300" distR="114300" simplePos="0" relativeHeight="251657728"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rsidR="00104744" w:rsidRDefault="00166BD9">
                          <w:pPr>
                            <w:spacing w:line="269" w:lineRule="exact"/>
                            <w:jc w:val="center"/>
                            <w:rPr>
                              <w:rFonts w:ascii="Impact"/>
                              <w:color w:val="FFFFFF" w:themeColor="background1"/>
                              <w:sz w:val="24"/>
                            </w:rPr>
                          </w:pPr>
                          <w:r>
                            <w:rPr>
                              <w:rFonts w:ascii="Impact"/>
                              <w:color w:val="FFFFFF" w:themeColor="background1"/>
                              <w:sz w:val="24"/>
                            </w:rPr>
                            <w:t>Fibromyalgia 2016</w:t>
                          </w:r>
                        </w:p>
                        <w:p w:rsidR="00104744" w:rsidRDefault="00166BD9">
                          <w:pPr>
                            <w:spacing w:before="29"/>
                            <w:jc w:val="center"/>
                            <w:rPr>
                              <w:rFonts w:ascii="Arial"/>
                              <w:color w:val="FFFFFF" w:themeColor="background1"/>
                              <w:sz w:val="16"/>
                            </w:rPr>
                          </w:pPr>
                          <w:r>
                            <w:rPr>
                              <w:rFonts w:ascii="Arial"/>
                              <w:color w:val="FFFFFF" w:themeColor="background1"/>
                              <w:sz w:val="16"/>
                            </w:rPr>
                            <w:t>June 15-16, 2016</w:t>
                          </w:r>
                        </w:p>
                      </w:txbxContent>
                    </wps:txbx>
                    <wps:bodyPr rot="0" vert="horz" wrap="square" lIns="0" tIns="0" rIns="0" bIns="0" anchor="t" anchorCtr="0" upright="1">
                      <a:noAutofit/>
                    </wps:bodyPr>
                  </wps:wsp>
                </a:graphicData>
              </a:graphic>
            </wp:anchor>
          </w:drawing>
        </mc:Choice>
        <mc:Fallback xmlns:wpsCustomData="http://www.wps.cn/officeDocument/2013/wpsCustomData" xmlns:w15="http://schemas.microsoft.com/office/word/2012/wordml">
          <w:pict>
            <v:shape id="Text Box 2" o:spid="_x0000_s1026" o:spt="202" type="#_x0000_t202" style="position:absolute;left:0pt;margin-left:252.1pt;margin-top:799.05pt;height:24.95pt;width:91.9pt;mso-position-horizontal-relative:page;mso-position-vertical-relative:page;z-index:-251654144;mso-width-relative:page;mso-height-relative:page;" filled="f" stroked="f" coordsize="21600,21600" o:gfxdata="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BYAAABkcnMvUEsBAhQAFAAAAAgAh07iQH4DWCTaAAAADQEAAA8AAAAA&#10;AAAAAQAgAAAAOAAAAGRycy9kb3ducmV2LnhtbFBLAQIUABQAAAAIAIdO4kCgaEw9/AEAAAQEAAAO&#10;AAAAAAAAAAEAIAAAAD8BAABkcnMvZTJvRG9jLnhtbFBLBQYAAAAABgAGAFkBAACtBQ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w:rPr>
        <w:noProof/>
        <w:lang w:val="en-IN" w:eastAsia="en-IN"/>
      </w:rPr>
      <mc:AlternateContent>
        <mc:Choice Requires="wps">
          <w:drawing>
            <wp:anchor distT="0" distB="0" distL="114300" distR="114300" simplePos="0" relativeHeight="251658752"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rsidR="00104744" w:rsidRDefault="00166BD9">
                          <w:pPr>
                            <w:spacing w:line="184" w:lineRule="exact"/>
                            <w:ind w:right="18"/>
                            <w:jc w:val="right"/>
                            <w:rPr>
                              <w:rFonts w:ascii="Arial"/>
                              <w:color w:val="FFFFFF" w:themeColor="background1"/>
                              <w:sz w:val="16"/>
                            </w:rPr>
                          </w:pPr>
                          <w:r>
                            <w:rPr>
                              <w:rFonts w:ascii="Arial"/>
                              <w:color w:val="FFFFFF" w:themeColor="background1"/>
                              <w:sz w:val="16"/>
                            </w:rPr>
                            <w:t>Volume 5, Issue 3(</w:t>
                          </w:r>
                          <w:proofErr w:type="spellStart"/>
                          <w:r>
                            <w:rPr>
                              <w:rFonts w:ascii="Arial"/>
                              <w:color w:val="FFFFFF" w:themeColor="background1"/>
                              <w:sz w:val="16"/>
                            </w:rPr>
                            <w:t>Suppl</w:t>
                          </w:r>
                          <w:proofErr w:type="spellEnd"/>
                          <w:r>
                            <w:rPr>
                              <w:rFonts w:ascii="Arial"/>
                              <w:color w:val="FFFFFF" w:themeColor="background1"/>
                              <w:sz w:val="16"/>
                            </w:rPr>
                            <w:t>)</w:t>
                          </w:r>
                        </w:p>
                        <w:p w:rsidR="00104744" w:rsidRDefault="00166BD9">
                          <w:pPr>
                            <w:spacing w:before="116"/>
                            <w:ind w:right="18"/>
                            <w:jc w:val="right"/>
                            <w:rPr>
                              <w:rFonts w:ascii="Minion Pro"/>
                              <w:color w:val="FFFFFF" w:themeColor="background1"/>
                              <w:sz w:val="16"/>
                            </w:rPr>
                          </w:pPr>
                          <w:r>
                            <w:rPr>
                              <w:rFonts w:ascii="Minion Pro"/>
                              <w:color w:val="FFFFFF" w:themeColor="background1"/>
                              <w:sz w:val="16"/>
                            </w:rPr>
                            <w:t>Page 40</w:t>
                          </w:r>
                        </w:p>
                      </w:txbxContent>
                    </wps:txbx>
                    <wps:bodyPr rot="0" vert="horz" wrap="square" lIns="0" tIns="0" rIns="0" bIns="0" anchor="t" anchorCtr="0" upright="1">
                      <a:noAutofit/>
                    </wps:bodyPr>
                  </wps:wsp>
                </a:graphicData>
              </a:graphic>
            </wp:anchor>
          </w:drawing>
        </mc:Choice>
        <mc:Fallback xmlns:wpsCustomData="http://www.wps.cn/officeDocument/2013/wpsCustomData" xmlns:w15="http://schemas.microsoft.com/office/word/2012/wordml">
          <w:pict>
            <v:shape id="Text Box 1" o:spid="_x0000_s1026" o:spt="202" type="#_x0000_t202" style="position:absolute;left:0pt;margin-left:468.9pt;margin-top:798.8pt;height:26.05pt;width:91.4pt;mso-position-horizontal-relative:page;mso-position-vertical-relative:page;z-index:-251654144;mso-width-relative:page;mso-height-relative:page;" filled="f" stroked="f" coordsize="21600,21600" o:gfxdata="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BYAAABkcnMvUEsBAhQAFAAAAAgAh07iQMGzGdnbAAAADgEAAA8AAAAA&#10;AAAAAQAgAAAAOAAAAGRycy9kb3ducmV2LnhtbFBLAQIUABQAAAAIAIdO4kDxnVs7+wEAAAQEAAAO&#10;AAAAAAAAAAEAIAAAAEABAABkcnMvZTJvRG9jLnhtbFBLBQYAAAAABgAGAFkBAACtBQ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6BD9" w:rsidRDefault="00166BD9">
      <w:r>
        <w:separator/>
      </w:r>
    </w:p>
  </w:footnote>
  <w:footnote w:type="continuationSeparator" w:id="0">
    <w:p w:rsidR="00166BD9" w:rsidRDefault="00166B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multilevel"/>
    <w:tmpl w:val="31C80552"/>
    <w:lvl w:ilvl="0">
      <w:start w:val="1"/>
      <w:numFmt w:val="decimal"/>
      <w:lvlText w:val="%1."/>
      <w:lvlJc w:val="left"/>
      <w:pPr>
        <w:ind w:left="383" w:hanging="284"/>
      </w:pPr>
      <w:rPr>
        <w:rFonts w:ascii="Calibri" w:eastAsia="Calibri" w:hAnsi="Calibri" w:cs="Calibri" w:hint="default"/>
        <w:spacing w:val="-16"/>
        <w:w w:val="100"/>
        <w:sz w:val="18"/>
        <w:szCs w:val="18"/>
      </w:rPr>
    </w:lvl>
    <w:lvl w:ilvl="1">
      <w:start w:val="1"/>
      <w:numFmt w:val="bullet"/>
      <w:lvlText w:val="•"/>
      <w:lvlJc w:val="left"/>
      <w:pPr>
        <w:ind w:left="877" w:hanging="284"/>
      </w:pPr>
      <w:rPr>
        <w:rFonts w:hint="default"/>
      </w:rPr>
    </w:lvl>
    <w:lvl w:ilvl="2">
      <w:start w:val="1"/>
      <w:numFmt w:val="bullet"/>
      <w:lvlText w:val="•"/>
      <w:lvlJc w:val="left"/>
      <w:pPr>
        <w:ind w:left="1374" w:hanging="284"/>
      </w:pPr>
      <w:rPr>
        <w:rFonts w:hint="default"/>
      </w:rPr>
    </w:lvl>
    <w:lvl w:ilvl="3">
      <w:start w:val="1"/>
      <w:numFmt w:val="bullet"/>
      <w:lvlText w:val="•"/>
      <w:lvlJc w:val="left"/>
      <w:pPr>
        <w:ind w:left="1871" w:hanging="284"/>
      </w:pPr>
      <w:rPr>
        <w:rFonts w:hint="default"/>
      </w:rPr>
    </w:lvl>
    <w:lvl w:ilvl="4">
      <w:start w:val="1"/>
      <w:numFmt w:val="bullet"/>
      <w:lvlText w:val="•"/>
      <w:lvlJc w:val="left"/>
      <w:pPr>
        <w:ind w:left="2369" w:hanging="284"/>
      </w:pPr>
      <w:rPr>
        <w:rFonts w:hint="default"/>
      </w:rPr>
    </w:lvl>
    <w:lvl w:ilvl="5">
      <w:start w:val="1"/>
      <w:numFmt w:val="bullet"/>
      <w:lvlText w:val="•"/>
      <w:lvlJc w:val="left"/>
      <w:pPr>
        <w:ind w:left="2866" w:hanging="284"/>
      </w:pPr>
      <w:rPr>
        <w:rFonts w:hint="default"/>
      </w:rPr>
    </w:lvl>
    <w:lvl w:ilvl="6">
      <w:start w:val="1"/>
      <w:numFmt w:val="bullet"/>
      <w:lvlText w:val="•"/>
      <w:lvlJc w:val="left"/>
      <w:pPr>
        <w:ind w:left="3363" w:hanging="284"/>
      </w:pPr>
      <w:rPr>
        <w:rFonts w:hint="default"/>
      </w:rPr>
    </w:lvl>
    <w:lvl w:ilvl="7">
      <w:start w:val="1"/>
      <w:numFmt w:val="bullet"/>
      <w:lvlText w:val="•"/>
      <w:lvlJc w:val="left"/>
      <w:pPr>
        <w:ind w:left="3860" w:hanging="284"/>
      </w:pPr>
      <w:rPr>
        <w:rFonts w:hint="default"/>
      </w:rPr>
    </w:lvl>
    <w:lvl w:ilvl="8">
      <w:start w:val="1"/>
      <w:numFmt w:val="bullet"/>
      <w:lvlText w:val="•"/>
      <w:lvlJc w:val="left"/>
      <w:pPr>
        <w:ind w:left="4358" w:hanging="284"/>
      </w:pPr>
      <w:rPr>
        <w:rFonts w:hint="default"/>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1"/>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B5F792D4"/>
    <w:rsid w:val="FFBA3964"/>
    <w:rsid w:val="000534A1"/>
    <w:rsid w:val="0006797A"/>
    <w:rsid w:val="000B4CAA"/>
    <w:rsid w:val="000B4FC3"/>
    <w:rsid w:val="000E2911"/>
    <w:rsid w:val="00104744"/>
    <w:rsid w:val="001263DF"/>
    <w:rsid w:val="00166BD9"/>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9710C"/>
    <w:rsid w:val="00AE3E37"/>
    <w:rsid w:val="00B21A57"/>
    <w:rsid w:val="00BE6743"/>
    <w:rsid w:val="00C33602"/>
    <w:rsid w:val="00C56C74"/>
    <w:rsid w:val="00CD6F55"/>
    <w:rsid w:val="00DE3104"/>
    <w:rsid w:val="00DE6170"/>
    <w:rsid w:val="00E30428"/>
    <w:rsid w:val="00E30AAC"/>
    <w:rsid w:val="00E95D97"/>
    <w:rsid w:val="00EA7D51"/>
    <w:rsid w:val="00F046EA"/>
    <w:rsid w:val="00F312EA"/>
    <w:rsid w:val="00F35A62"/>
    <w:rsid w:val="00F72EEA"/>
    <w:rsid w:val="00F84CAE"/>
    <w:rsid w:val="00FA41DE"/>
    <w:rsid w:val="1CFBDC2D"/>
    <w:rsid w:val="1FCCCABC"/>
    <w:rsid w:val="2F5DAC88"/>
    <w:rsid w:val="3FBD3003"/>
    <w:rsid w:val="3FEB6DE6"/>
    <w:rsid w:val="57F7ACBE"/>
    <w:rsid w:val="5D9B7A53"/>
    <w:rsid w:val="77EFC11C"/>
    <w:rsid w:val="7CCA7E91"/>
    <w:rsid w:val="7DF78CF6"/>
    <w:rsid w:val="7DF8732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IN" w:eastAsia="en-I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pPr>
      <w:widowControl w:val="0"/>
    </w:pPr>
    <w:rPr>
      <w:rFonts w:ascii="Tw Cen MT" w:eastAsia="Tw Cen MT" w:hAnsi="Tw Cen MT" w:cs="Tw Cen MT"/>
      <w:sz w:val="22"/>
      <w:szCs w:val="22"/>
      <w:lang w:val="en-US" w:eastAsia="en-US"/>
    </w:rPr>
  </w:style>
  <w:style w:type="paragraph" w:styleId="Heading1">
    <w:name w:val="heading 1"/>
    <w:basedOn w:val="Normal"/>
    <w:next w:val="Normal"/>
    <w:uiPriority w:val="1"/>
    <w:qFormat/>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uiPriority w:val="1"/>
    <w:qFormat/>
    <w:pPr>
      <w:ind w:left="100"/>
      <w:outlineLvl w:val="1"/>
    </w:pPr>
    <w:rPr>
      <w:rFonts w:ascii="Minion Pro" w:eastAsia="Minion Pro" w:hAnsi="Minion Pro" w:cs="Minion Pro"/>
      <w:sz w:val="24"/>
      <w:szCs w:val="24"/>
    </w:rPr>
  </w:style>
  <w:style w:type="paragraph" w:styleId="Heading3">
    <w:name w:val="heading 3"/>
    <w:basedOn w:val="Normal"/>
    <w:next w:val="Normal"/>
    <w:uiPriority w:val="1"/>
    <w:qFormat/>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character" w:styleId="Hyperlink">
    <w:name w:val="Hyperlink"/>
    <w:basedOn w:val="DefaultParagraphFont"/>
    <w:uiPriority w:val="99"/>
    <w:unhideWhenUsed/>
    <w:qFormat/>
    <w:rPr>
      <w:color w:val="0000FF" w:themeColor="hyperlink"/>
      <w:u w:val="single"/>
    </w:rPr>
  </w:style>
  <w:style w:type="paragraph" w:styleId="ListParagraph">
    <w:name w:val="List Paragraph"/>
    <w:basedOn w:val="Normal"/>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style>
  <w:style w:type="character" w:customStyle="1" w:styleId="HeaderChar">
    <w:name w:val="Header Char"/>
    <w:basedOn w:val="DefaultParagraphFont"/>
    <w:link w:val="Header"/>
    <w:uiPriority w:val="99"/>
    <w:qFormat/>
    <w:rPr>
      <w:rFonts w:ascii="Tw Cen MT" w:eastAsia="Tw Cen MT" w:hAnsi="Tw Cen MT" w:cs="Tw Cen MT"/>
    </w:rPr>
  </w:style>
  <w:style w:type="character" w:customStyle="1" w:styleId="FooterChar">
    <w:name w:val="Footer Char"/>
    <w:basedOn w:val="DefaultParagraphFont"/>
    <w:link w:val="Footer"/>
    <w:uiPriority w:val="99"/>
    <w:qFormat/>
    <w:rPr>
      <w:rFonts w:ascii="Tw Cen MT" w:eastAsia="Tw Cen MT" w:hAnsi="Tw Cen MT" w:cs="Tw Cen MT"/>
    </w:rPr>
  </w:style>
  <w:style w:type="character" w:customStyle="1" w:styleId="BalloonTextChar">
    <w:name w:val="Balloon Text Char"/>
    <w:basedOn w:val="DefaultParagraphFont"/>
    <w:link w:val="BalloonText"/>
    <w:uiPriority w:val="99"/>
    <w:semiHidden/>
    <w:qFormat/>
    <w:rPr>
      <w:rFonts w:ascii="Tahoma" w:eastAsia="Tw Cen MT" w:hAnsi="Tahoma" w:cs="Tahoma"/>
      <w:sz w:val="16"/>
      <w:szCs w:val="16"/>
    </w:rPr>
  </w:style>
  <w:style w:type="character" w:customStyle="1" w:styleId="BodyTextChar">
    <w:name w:val="Body Text Char"/>
    <w:basedOn w:val="DefaultParagraphFont"/>
    <w:link w:val="BodyText"/>
    <w:uiPriority w:val="1"/>
    <w:qFormat/>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IN" w:eastAsia="en-I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pPr>
      <w:widowControl w:val="0"/>
    </w:pPr>
    <w:rPr>
      <w:rFonts w:ascii="Tw Cen MT" w:eastAsia="Tw Cen MT" w:hAnsi="Tw Cen MT" w:cs="Tw Cen MT"/>
      <w:sz w:val="22"/>
      <w:szCs w:val="22"/>
      <w:lang w:val="en-US" w:eastAsia="en-US"/>
    </w:rPr>
  </w:style>
  <w:style w:type="paragraph" w:styleId="Heading1">
    <w:name w:val="heading 1"/>
    <w:basedOn w:val="Normal"/>
    <w:next w:val="Normal"/>
    <w:uiPriority w:val="1"/>
    <w:qFormat/>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uiPriority w:val="1"/>
    <w:qFormat/>
    <w:pPr>
      <w:ind w:left="100"/>
      <w:outlineLvl w:val="1"/>
    </w:pPr>
    <w:rPr>
      <w:rFonts w:ascii="Minion Pro" w:eastAsia="Minion Pro" w:hAnsi="Minion Pro" w:cs="Minion Pro"/>
      <w:sz w:val="24"/>
      <w:szCs w:val="24"/>
    </w:rPr>
  </w:style>
  <w:style w:type="paragraph" w:styleId="Heading3">
    <w:name w:val="heading 3"/>
    <w:basedOn w:val="Normal"/>
    <w:next w:val="Normal"/>
    <w:uiPriority w:val="1"/>
    <w:qFormat/>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character" w:styleId="Hyperlink">
    <w:name w:val="Hyperlink"/>
    <w:basedOn w:val="DefaultParagraphFont"/>
    <w:uiPriority w:val="99"/>
    <w:unhideWhenUsed/>
    <w:qFormat/>
    <w:rPr>
      <w:color w:val="0000FF" w:themeColor="hyperlink"/>
      <w:u w:val="single"/>
    </w:rPr>
  </w:style>
  <w:style w:type="paragraph" w:styleId="ListParagraph">
    <w:name w:val="List Paragraph"/>
    <w:basedOn w:val="Normal"/>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style>
  <w:style w:type="character" w:customStyle="1" w:styleId="HeaderChar">
    <w:name w:val="Header Char"/>
    <w:basedOn w:val="DefaultParagraphFont"/>
    <w:link w:val="Header"/>
    <w:uiPriority w:val="99"/>
    <w:qFormat/>
    <w:rPr>
      <w:rFonts w:ascii="Tw Cen MT" w:eastAsia="Tw Cen MT" w:hAnsi="Tw Cen MT" w:cs="Tw Cen MT"/>
    </w:rPr>
  </w:style>
  <w:style w:type="character" w:customStyle="1" w:styleId="FooterChar">
    <w:name w:val="Footer Char"/>
    <w:basedOn w:val="DefaultParagraphFont"/>
    <w:link w:val="Footer"/>
    <w:uiPriority w:val="99"/>
    <w:qFormat/>
    <w:rPr>
      <w:rFonts w:ascii="Tw Cen MT" w:eastAsia="Tw Cen MT" w:hAnsi="Tw Cen MT" w:cs="Tw Cen MT"/>
    </w:rPr>
  </w:style>
  <w:style w:type="character" w:customStyle="1" w:styleId="BalloonTextChar">
    <w:name w:val="Balloon Text Char"/>
    <w:basedOn w:val="DefaultParagraphFont"/>
    <w:link w:val="BalloonText"/>
    <w:uiPriority w:val="99"/>
    <w:semiHidden/>
    <w:qFormat/>
    <w:rPr>
      <w:rFonts w:ascii="Tahoma" w:eastAsia="Tw Cen MT" w:hAnsi="Tahoma" w:cs="Tahoma"/>
      <w:sz w:val="16"/>
      <w:szCs w:val="16"/>
    </w:rPr>
  </w:style>
  <w:style w:type="character" w:customStyle="1" w:styleId="BodyTextChar">
    <w:name w:val="Body Text Char"/>
    <w:basedOn w:val="DefaultParagraphFont"/>
    <w:link w:val="BodyText"/>
    <w:uiPriority w:val="1"/>
    <w:qFormat/>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0.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mailto:drXXXXXXX@xxx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733</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2023-01-07T04:57:00Z</dcterms:created>
  <dcterms:modified xsi:type="dcterms:W3CDTF">2023-01-07T04:57:00Z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2052-5.1.1.7676</vt:lpwstr>
  </property>
  <property fmtid="{D5CDD505-2E9C-101B-9397-08002B2CF9AE}" pid="6" name="ICV">
    <vt:lpwstr>D6D4346B5C42F190DDD7B763DB4908F6</vt:lpwstr>
  </property>
</Properties>
</file>