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A55" w:rsidRPr="00DA6A55" w:rsidRDefault="00E240F8" w:rsidP="00DA6A55">
      <w:pPr>
        <w:pStyle w:val="BodyText"/>
        <w:jc w:val="both"/>
        <w:rPr>
          <w:rFonts w:ascii="Times New Roman" w:eastAsia="Minion Pro" w:hAnsi="Times New Roman" w:cs="Times New Roman"/>
          <w:b/>
          <w:bCs/>
          <w:color w:val="337AB7"/>
          <w:sz w:val="32"/>
          <w:szCs w:val="24"/>
        </w:rPr>
      </w:pPr>
      <w:r w:rsidRPr="00DA6A55">
        <w:rPr>
          <w:rFonts w:ascii="Times New Roman" w:eastAsia="Minion Pro" w:hAnsi="Times New Roman" w:cs="Times New Roman"/>
          <w:b/>
          <w:bCs/>
          <w:color w:val="337AB7"/>
          <w:sz w:val="32"/>
          <w:szCs w:val="24"/>
        </w:rPr>
        <w:t>Juggling between the co</w:t>
      </w:r>
      <w:r>
        <w:rPr>
          <w:rFonts w:ascii="Times New Roman" w:eastAsia="Minion Pro" w:hAnsi="Times New Roman" w:cs="Times New Roman"/>
          <w:b/>
          <w:bCs/>
          <w:color w:val="337AB7"/>
          <w:sz w:val="32"/>
          <w:szCs w:val="24"/>
        </w:rPr>
        <w:t>st and value of new therapies: D</w:t>
      </w:r>
      <w:r w:rsidRPr="00DA6A55">
        <w:rPr>
          <w:rFonts w:ascii="Times New Roman" w:eastAsia="Minion Pro" w:hAnsi="Times New Roman" w:cs="Times New Roman"/>
          <w:b/>
          <w:bCs/>
          <w:color w:val="337AB7"/>
          <w:sz w:val="32"/>
          <w:szCs w:val="24"/>
        </w:rPr>
        <w:t>oes</w:t>
      </w:r>
    </w:p>
    <w:p w:rsidR="00DA6A55" w:rsidRDefault="00E240F8" w:rsidP="00DA6A55">
      <w:pPr>
        <w:pStyle w:val="BodyText"/>
        <w:spacing w:after="200" w:line="276" w:lineRule="auto"/>
        <w:jc w:val="both"/>
        <w:rPr>
          <w:rFonts w:ascii="Times New Roman" w:eastAsia="Minion Pro" w:hAnsi="Times New Roman" w:cs="Times New Roman"/>
          <w:b/>
          <w:bCs/>
          <w:color w:val="337AB7"/>
          <w:sz w:val="32"/>
          <w:szCs w:val="24"/>
        </w:rPr>
      </w:pPr>
      <w:r>
        <w:rPr>
          <w:rFonts w:ascii="Times New Roman" w:eastAsia="Minion Pro" w:hAnsi="Times New Roman" w:cs="Times New Roman"/>
          <w:b/>
          <w:bCs/>
          <w:color w:val="337AB7"/>
          <w:sz w:val="32"/>
          <w:szCs w:val="24"/>
        </w:rPr>
        <w:t>Science</w:t>
      </w:r>
      <w:r w:rsidRPr="00DA6A55">
        <w:rPr>
          <w:rFonts w:ascii="Times New Roman" w:eastAsia="Minion Pro" w:hAnsi="Times New Roman" w:cs="Times New Roman"/>
          <w:b/>
          <w:bCs/>
          <w:color w:val="337AB7"/>
          <w:sz w:val="32"/>
          <w:szCs w:val="24"/>
        </w:rPr>
        <w:t xml:space="preserve"> still </w:t>
      </w:r>
      <w:proofErr w:type="gramStart"/>
      <w:r w:rsidRPr="00DA6A55">
        <w:rPr>
          <w:rFonts w:ascii="Times New Roman" w:eastAsia="Minion Pro" w:hAnsi="Times New Roman" w:cs="Times New Roman"/>
          <w:b/>
          <w:bCs/>
          <w:color w:val="337AB7"/>
          <w:sz w:val="32"/>
          <w:szCs w:val="24"/>
        </w:rPr>
        <w:t>serve</w:t>
      </w:r>
      <w:proofErr w:type="gramEnd"/>
      <w:r w:rsidRPr="00DA6A55">
        <w:rPr>
          <w:rFonts w:ascii="Times New Roman" w:eastAsia="Minion Pro" w:hAnsi="Times New Roman" w:cs="Times New Roman"/>
          <w:b/>
          <w:bCs/>
          <w:color w:val="337AB7"/>
          <w:sz w:val="32"/>
          <w:szCs w:val="24"/>
        </w:rPr>
        <w:t xml:space="preserve"> pat</w:t>
      </w:r>
      <w:r>
        <w:rPr>
          <w:rFonts w:ascii="Times New Roman" w:eastAsia="Minion Pro" w:hAnsi="Times New Roman" w:cs="Times New Roman"/>
          <w:b/>
          <w:bCs/>
          <w:color w:val="337AB7"/>
          <w:sz w:val="32"/>
          <w:szCs w:val="24"/>
        </w:rPr>
        <w:t xml:space="preserve">ient needs? – The </w:t>
      </w:r>
      <w:proofErr w:type="spellStart"/>
      <w:r>
        <w:rPr>
          <w:rFonts w:ascii="Times New Roman" w:eastAsia="Minion Pro" w:hAnsi="Times New Roman" w:cs="Times New Roman"/>
          <w:b/>
          <w:bCs/>
          <w:color w:val="337AB7"/>
          <w:sz w:val="32"/>
          <w:szCs w:val="24"/>
        </w:rPr>
        <w:t>Thalassaemia</w:t>
      </w:r>
      <w:proofErr w:type="spellEnd"/>
      <w:r>
        <w:rPr>
          <w:rFonts w:ascii="Times New Roman" w:eastAsia="Minion Pro" w:hAnsi="Times New Roman" w:cs="Times New Roman"/>
          <w:b/>
          <w:bCs/>
          <w:color w:val="337AB7"/>
          <w:sz w:val="32"/>
          <w:szCs w:val="24"/>
        </w:rPr>
        <w:t xml:space="preserve"> International Federation P</w:t>
      </w:r>
      <w:r w:rsidRPr="00DA6A55">
        <w:rPr>
          <w:rFonts w:ascii="Times New Roman" w:eastAsia="Minion Pro" w:hAnsi="Times New Roman" w:cs="Times New Roman"/>
          <w:b/>
          <w:bCs/>
          <w:color w:val="337AB7"/>
          <w:sz w:val="32"/>
          <w:szCs w:val="24"/>
        </w:rPr>
        <w:t>erspective</w:t>
      </w:r>
    </w:p>
    <w:p w:rsidR="005C0C86" w:rsidRDefault="00DA6A55" w:rsidP="00DA6A55">
      <w:pPr>
        <w:pStyle w:val="BodyText"/>
        <w:spacing w:after="200" w:line="276" w:lineRule="auto"/>
        <w:jc w:val="both"/>
        <w:rPr>
          <w:rFonts w:ascii="Times New Roman" w:hAnsi="Times New Roman" w:cs="Times New Roman"/>
          <w:sz w:val="24"/>
          <w:szCs w:val="24"/>
        </w:rPr>
      </w:pPr>
      <w:proofErr w:type="spellStart"/>
      <w:r w:rsidRPr="00DA6A55">
        <w:rPr>
          <w:rFonts w:ascii="Times New Roman" w:hAnsi="Times New Roman" w:cs="Times New Roman"/>
          <w:sz w:val="24"/>
          <w:szCs w:val="24"/>
        </w:rPr>
        <w:t>Androulla</w:t>
      </w:r>
      <w:proofErr w:type="spellEnd"/>
      <w:r w:rsidRPr="00DA6A55">
        <w:rPr>
          <w:rFonts w:ascii="Times New Roman" w:hAnsi="Times New Roman" w:cs="Times New Roman"/>
          <w:sz w:val="24"/>
          <w:szCs w:val="24"/>
        </w:rPr>
        <w:t xml:space="preserve"> </w:t>
      </w:r>
      <w:proofErr w:type="spellStart"/>
      <w:r w:rsidRPr="00DA6A55">
        <w:rPr>
          <w:rFonts w:ascii="Times New Roman" w:hAnsi="Times New Roman" w:cs="Times New Roman"/>
          <w:sz w:val="24"/>
          <w:szCs w:val="24"/>
        </w:rPr>
        <w:t>Eleftheriou</w:t>
      </w:r>
      <w:proofErr w:type="spellEnd"/>
      <w:r w:rsidRPr="00DA6A55">
        <w:rPr>
          <w:rFonts w:ascii="Times New Roman" w:hAnsi="Times New Roman" w:cs="Times New Roman"/>
          <w:sz w:val="24"/>
          <w:szCs w:val="24"/>
        </w:rPr>
        <w:t xml:space="preserve"> </w:t>
      </w:r>
      <w:r w:rsidR="005C0C86">
        <w:rPr>
          <w:rFonts w:ascii="Times New Roman" w:hAnsi="Times New Roman" w:cs="Times New Roman"/>
          <w:sz w:val="24"/>
          <w:szCs w:val="24"/>
        </w:rPr>
        <w:t>*</w:t>
      </w:r>
      <w:bookmarkStart w:id="0" w:name="_GoBack"/>
      <w:bookmarkEnd w:id="0"/>
    </w:p>
    <w:p w:rsidR="005C0C86" w:rsidRDefault="00DA6A55" w:rsidP="005C0C86">
      <w:pPr>
        <w:pStyle w:val="BodyText"/>
        <w:spacing w:after="200" w:line="276" w:lineRule="auto"/>
        <w:rPr>
          <w:rFonts w:ascii="Times New Roman" w:hAnsi="Times New Roman" w:cs="Times New Roman"/>
          <w:sz w:val="22"/>
          <w:szCs w:val="24"/>
        </w:rPr>
      </w:pPr>
      <w:proofErr w:type="spellStart"/>
      <w:r w:rsidRPr="00DA6A55">
        <w:rPr>
          <w:rFonts w:ascii="Times New Roman" w:hAnsi="Times New Roman" w:cs="Times New Roman"/>
          <w:sz w:val="22"/>
          <w:szCs w:val="24"/>
        </w:rPr>
        <w:t>Thalassasemia</w:t>
      </w:r>
      <w:proofErr w:type="spellEnd"/>
      <w:r w:rsidRPr="00DA6A55">
        <w:rPr>
          <w:rFonts w:ascii="Times New Roman" w:hAnsi="Times New Roman" w:cs="Times New Roman"/>
          <w:sz w:val="22"/>
          <w:szCs w:val="24"/>
        </w:rPr>
        <w:t xml:space="preserve"> International Federation</w:t>
      </w:r>
      <w:r w:rsidR="005C0C86">
        <w:rPr>
          <w:rFonts w:ascii="Times New Roman" w:hAnsi="Times New Roman" w:cs="Times New Roman"/>
          <w:sz w:val="22"/>
          <w:szCs w:val="24"/>
        </w:rPr>
        <w:t xml:space="preserve">, </w:t>
      </w:r>
      <w:r w:rsidRPr="00DA6A55">
        <w:rPr>
          <w:rFonts w:ascii="Times New Roman" w:hAnsi="Times New Roman" w:cs="Times New Roman"/>
          <w:sz w:val="22"/>
          <w:szCs w:val="24"/>
        </w:rPr>
        <w:t>Cyprus</w:t>
      </w:r>
      <w:r w:rsidR="005C0C86">
        <w:rPr>
          <w:rFonts w:ascii="Times New Roman" w:hAnsi="Times New Roman" w:cs="Times New Roman"/>
          <w:sz w:val="22"/>
          <w:szCs w:val="24"/>
        </w:rPr>
        <w:t xml:space="preserve"> </w:t>
      </w:r>
    </w:p>
    <w:p w:rsidR="005C0C86" w:rsidRDefault="005C0C8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DA6A55" w:rsidRPr="00DA6A55" w:rsidRDefault="00DA6A55" w:rsidP="00DA6A55">
      <w:pPr>
        <w:jc w:val="both"/>
        <w:rPr>
          <w:rFonts w:ascii="Times New Roman" w:eastAsia="Tw Cen MT" w:hAnsi="Times New Roman" w:cs="Times New Roman"/>
          <w:sz w:val="20"/>
          <w:szCs w:val="24"/>
          <w:lang w:val="en-US"/>
        </w:rPr>
      </w:pPr>
      <w:proofErr w:type="spellStart"/>
      <w:r w:rsidRPr="00DA6A55">
        <w:rPr>
          <w:rFonts w:ascii="Times New Roman" w:eastAsia="Tw Cen MT" w:hAnsi="Times New Roman" w:cs="Times New Roman"/>
          <w:sz w:val="20"/>
          <w:szCs w:val="24"/>
          <w:lang w:val="en-US"/>
        </w:rPr>
        <w:t>Thalassaemia</w:t>
      </w:r>
      <w:proofErr w:type="spellEnd"/>
      <w:r w:rsidRPr="00DA6A55">
        <w:rPr>
          <w:rFonts w:ascii="Times New Roman" w:eastAsia="Tw Cen MT" w:hAnsi="Times New Roman" w:cs="Times New Roman"/>
          <w:sz w:val="20"/>
          <w:szCs w:val="24"/>
          <w:lang w:val="en-US"/>
        </w:rPr>
        <w:t xml:space="preserve"> International Federation (TIF), representing the united voice of people with </w:t>
      </w:r>
      <w:proofErr w:type="spellStart"/>
      <w:r w:rsidRPr="00DA6A55">
        <w:rPr>
          <w:rFonts w:ascii="Times New Roman" w:eastAsia="Tw Cen MT" w:hAnsi="Times New Roman" w:cs="Times New Roman"/>
          <w:sz w:val="20"/>
          <w:szCs w:val="24"/>
          <w:lang w:val="en-US"/>
        </w:rPr>
        <w:t>thalassaemia</w:t>
      </w:r>
      <w:proofErr w:type="spellEnd"/>
      <w:r w:rsidRPr="00DA6A55">
        <w:rPr>
          <w:rFonts w:ascii="Times New Roman" w:eastAsia="Tw Cen MT" w:hAnsi="Times New Roman" w:cs="Times New Roman"/>
          <w:sz w:val="20"/>
          <w:szCs w:val="24"/>
          <w:lang w:val="en-US"/>
        </w:rPr>
        <w:t xml:space="preserve"> and their families globally, has been striving for more than three decades to empower research, by academic communities and industry, to focus on developing a safe and effective curative approach for </w:t>
      </w:r>
      <w:proofErr w:type="spellStart"/>
      <w:r w:rsidRPr="00DA6A55">
        <w:rPr>
          <w:rFonts w:ascii="Times New Roman" w:eastAsia="Tw Cen MT" w:hAnsi="Times New Roman" w:cs="Times New Roman"/>
          <w:sz w:val="20"/>
          <w:szCs w:val="24"/>
          <w:lang w:val="en-US"/>
        </w:rPr>
        <w:t>thalassaemia</w:t>
      </w:r>
      <w:proofErr w:type="spellEnd"/>
      <w:r w:rsidRPr="00DA6A55">
        <w:rPr>
          <w:rFonts w:ascii="Times New Roman" w:eastAsia="Tw Cen MT" w:hAnsi="Times New Roman" w:cs="Times New Roman"/>
          <w:sz w:val="20"/>
          <w:szCs w:val="24"/>
          <w:lang w:val="en-US"/>
        </w:rPr>
        <w:t xml:space="preserve">. Such a cure would lead to new lives with equal opportunities and challenges, as for every other person not suffering from a severe chronic disease. A gene therapy product was finally </w:t>
      </w:r>
      <w:proofErr w:type="spellStart"/>
      <w:r w:rsidRPr="00DA6A55">
        <w:rPr>
          <w:rFonts w:ascii="Times New Roman" w:eastAsia="Tw Cen MT" w:hAnsi="Times New Roman" w:cs="Times New Roman"/>
          <w:sz w:val="20"/>
          <w:szCs w:val="24"/>
          <w:lang w:val="en-US"/>
        </w:rPr>
        <w:t>authorised</w:t>
      </w:r>
      <w:proofErr w:type="spellEnd"/>
      <w:r w:rsidRPr="00DA6A55">
        <w:rPr>
          <w:rFonts w:ascii="Times New Roman" w:eastAsia="Tw Cen MT" w:hAnsi="Times New Roman" w:cs="Times New Roman"/>
          <w:sz w:val="20"/>
          <w:szCs w:val="24"/>
          <w:lang w:val="en-US"/>
        </w:rPr>
        <w:t xml:space="preserve"> in May 2019 by the European Medicinal Agency, thus marking a milestone in the history of the disease. However, sadly, the product was finally withdrawn from Europe, bringing feelings of great </w:t>
      </w:r>
      <w:proofErr w:type="spellStart"/>
      <w:r w:rsidRPr="00DA6A55">
        <w:rPr>
          <w:rFonts w:ascii="Times New Roman" w:eastAsia="Tw Cen MT" w:hAnsi="Times New Roman" w:cs="Times New Roman"/>
          <w:sz w:val="20"/>
          <w:szCs w:val="24"/>
          <w:lang w:val="en-US"/>
        </w:rPr>
        <w:t>disapointment</w:t>
      </w:r>
      <w:proofErr w:type="spellEnd"/>
      <w:r w:rsidRPr="00DA6A55">
        <w:rPr>
          <w:rFonts w:ascii="Times New Roman" w:eastAsia="Tw Cen MT" w:hAnsi="Times New Roman" w:cs="Times New Roman"/>
          <w:sz w:val="20"/>
          <w:szCs w:val="24"/>
          <w:lang w:val="en-US"/>
        </w:rPr>
        <w:t xml:space="preserve"> mainly to patients and their families. </w:t>
      </w:r>
    </w:p>
    <w:p w:rsidR="00DA6A55" w:rsidRPr="00DA6A55" w:rsidRDefault="00DA6A55" w:rsidP="00DA6A55">
      <w:pPr>
        <w:jc w:val="both"/>
        <w:rPr>
          <w:rFonts w:ascii="Times New Roman" w:eastAsia="Tw Cen MT" w:hAnsi="Times New Roman" w:cs="Times New Roman"/>
          <w:sz w:val="20"/>
          <w:szCs w:val="24"/>
          <w:lang w:val="en-US"/>
        </w:rPr>
      </w:pPr>
      <w:r w:rsidRPr="00DA6A55">
        <w:rPr>
          <w:rFonts w:ascii="Times New Roman" w:eastAsia="Tw Cen MT" w:hAnsi="Times New Roman" w:cs="Times New Roman"/>
          <w:sz w:val="20"/>
          <w:szCs w:val="24"/>
          <w:lang w:val="en-US"/>
        </w:rPr>
        <w:t xml:space="preserve">In this presentation, TIF expresses its view reflecting the global patients’ perspective on this issue, including some thoughts on why this happened, hoping for more proactive work and actions in the near future acknowledging the great progress and advancements made and other coming up with regards to gene based therapies. </w:t>
      </w:r>
    </w:p>
    <w:p w:rsidR="00DA6A55" w:rsidRPr="00DA6A55" w:rsidRDefault="00DA6A55" w:rsidP="00DA6A55">
      <w:pPr>
        <w:jc w:val="both"/>
        <w:rPr>
          <w:rFonts w:ascii="Times New Roman" w:eastAsia="Tw Cen MT" w:hAnsi="Times New Roman" w:cs="Times New Roman"/>
          <w:sz w:val="20"/>
          <w:szCs w:val="24"/>
          <w:lang w:val="en-US"/>
        </w:rPr>
      </w:pPr>
      <w:r w:rsidRPr="00DA6A55">
        <w:rPr>
          <w:rFonts w:ascii="Times New Roman" w:eastAsia="Tw Cen MT" w:hAnsi="Times New Roman" w:cs="Times New Roman"/>
          <w:sz w:val="20"/>
          <w:szCs w:val="24"/>
          <w:lang w:val="en-US"/>
        </w:rPr>
        <w:t xml:space="preserve">Health policy makers, health insurance authorities and healthcare funders certainly need to consider the competing needs for access to expensive therapies by different patient groups and prioritize resource allocation accordingly while at the same time, further to early and transparent dialogue with every involved stakeholder, the industry has to be proactive in developing sustainable business models. </w:t>
      </w:r>
    </w:p>
    <w:p w:rsidR="00DA6A55" w:rsidRPr="00DA6A55" w:rsidRDefault="00DA6A55" w:rsidP="00DA6A55">
      <w:pPr>
        <w:jc w:val="both"/>
        <w:rPr>
          <w:rFonts w:ascii="Times New Roman" w:eastAsia="Tw Cen MT" w:hAnsi="Times New Roman" w:cs="Times New Roman"/>
          <w:sz w:val="20"/>
          <w:szCs w:val="24"/>
          <w:lang w:val="en-US"/>
        </w:rPr>
      </w:pPr>
      <w:r w:rsidRPr="00DA6A55">
        <w:rPr>
          <w:rFonts w:ascii="Times New Roman" w:eastAsia="Tw Cen MT" w:hAnsi="Times New Roman" w:cs="Times New Roman"/>
          <w:sz w:val="20"/>
          <w:szCs w:val="24"/>
          <w:lang w:val="en-US"/>
        </w:rPr>
        <w:t xml:space="preserve">Finding a compromise among patient needs, public interest and pharmaceutical industry interest is indeed a very challenging equation to solve and what is certain is that all stakeholders to share the same responsibility for working towards ensuring access of patients to advanced therapies, including gene-based ones. </w:t>
      </w:r>
    </w:p>
    <w:p w:rsidR="005C0C86" w:rsidRDefault="005C0C86" w:rsidP="00DA6A55">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DA6A55" w:rsidRPr="00DA6A55" w:rsidRDefault="00DA6A55" w:rsidP="00DA6A55">
      <w:pPr>
        <w:pStyle w:val="ListParagraph"/>
        <w:numPr>
          <w:ilvl w:val="0"/>
          <w:numId w:val="3"/>
        </w:numPr>
        <w:autoSpaceDE w:val="0"/>
        <w:autoSpaceDN w:val="0"/>
        <w:adjustRightInd w:val="0"/>
        <w:spacing w:line="276" w:lineRule="auto"/>
        <w:rPr>
          <w:rFonts w:ascii="Times New Roman" w:hAnsi="Times New Roman" w:cs="Times New Roman"/>
          <w:color w:val="000000"/>
          <w:sz w:val="20"/>
          <w:szCs w:val="20"/>
        </w:rPr>
      </w:pPr>
      <w:r w:rsidRPr="00DA6A55">
        <w:rPr>
          <w:rFonts w:ascii="Times New Roman" w:hAnsi="Times New Roman" w:cs="Times New Roman"/>
          <w:color w:val="000000"/>
          <w:sz w:val="20"/>
          <w:szCs w:val="20"/>
        </w:rPr>
        <w:t xml:space="preserve">Thompson, A.A.; Walters, M.C.; Kwiatkowski, J.; </w:t>
      </w:r>
      <w:proofErr w:type="spellStart"/>
      <w:r w:rsidRPr="00DA6A55">
        <w:rPr>
          <w:rFonts w:ascii="Times New Roman" w:hAnsi="Times New Roman" w:cs="Times New Roman"/>
          <w:color w:val="000000"/>
          <w:sz w:val="20"/>
          <w:szCs w:val="20"/>
        </w:rPr>
        <w:t>Rasko</w:t>
      </w:r>
      <w:proofErr w:type="spellEnd"/>
      <w:r w:rsidRPr="00DA6A55">
        <w:rPr>
          <w:rFonts w:ascii="Times New Roman" w:hAnsi="Times New Roman" w:cs="Times New Roman"/>
          <w:color w:val="000000"/>
          <w:sz w:val="20"/>
          <w:szCs w:val="20"/>
        </w:rPr>
        <w:t xml:space="preserve">, R.E.J.; </w:t>
      </w:r>
      <w:proofErr w:type="spellStart"/>
      <w:r w:rsidRPr="00DA6A55">
        <w:rPr>
          <w:rFonts w:ascii="Times New Roman" w:hAnsi="Times New Roman" w:cs="Times New Roman"/>
          <w:color w:val="000000"/>
          <w:sz w:val="20"/>
          <w:szCs w:val="20"/>
        </w:rPr>
        <w:t>Ribeil</w:t>
      </w:r>
      <w:proofErr w:type="spellEnd"/>
      <w:r w:rsidRPr="00DA6A55">
        <w:rPr>
          <w:rFonts w:ascii="Times New Roman" w:hAnsi="Times New Roman" w:cs="Times New Roman"/>
          <w:color w:val="000000"/>
          <w:sz w:val="20"/>
          <w:szCs w:val="20"/>
        </w:rPr>
        <w:t xml:space="preserve">, J.-A.; </w:t>
      </w:r>
      <w:proofErr w:type="spellStart"/>
      <w:r w:rsidRPr="00DA6A55">
        <w:rPr>
          <w:rFonts w:ascii="Times New Roman" w:hAnsi="Times New Roman" w:cs="Times New Roman"/>
          <w:color w:val="000000"/>
          <w:sz w:val="20"/>
          <w:szCs w:val="20"/>
        </w:rPr>
        <w:t>Hongeng</w:t>
      </w:r>
      <w:proofErr w:type="spellEnd"/>
      <w:r w:rsidRPr="00DA6A55">
        <w:rPr>
          <w:rFonts w:ascii="Times New Roman" w:hAnsi="Times New Roman" w:cs="Times New Roman"/>
          <w:color w:val="000000"/>
          <w:sz w:val="20"/>
          <w:szCs w:val="20"/>
        </w:rPr>
        <w:t xml:space="preserve">, S.; </w:t>
      </w:r>
      <w:proofErr w:type="spellStart"/>
      <w:r w:rsidRPr="00DA6A55">
        <w:rPr>
          <w:rFonts w:ascii="Times New Roman" w:hAnsi="Times New Roman" w:cs="Times New Roman"/>
          <w:color w:val="000000"/>
          <w:sz w:val="20"/>
          <w:szCs w:val="20"/>
        </w:rPr>
        <w:t>Magrin</w:t>
      </w:r>
      <w:proofErr w:type="spellEnd"/>
      <w:r w:rsidRPr="00DA6A55">
        <w:rPr>
          <w:rFonts w:ascii="Times New Roman" w:hAnsi="Times New Roman" w:cs="Times New Roman"/>
          <w:color w:val="000000"/>
          <w:sz w:val="20"/>
          <w:szCs w:val="20"/>
        </w:rPr>
        <w:t xml:space="preserve">, E.; Schiller, G.J.; </w:t>
      </w:r>
      <w:proofErr w:type="spellStart"/>
      <w:r w:rsidRPr="00DA6A55">
        <w:rPr>
          <w:rFonts w:ascii="Times New Roman" w:hAnsi="Times New Roman" w:cs="Times New Roman"/>
          <w:color w:val="000000"/>
          <w:sz w:val="20"/>
          <w:szCs w:val="20"/>
        </w:rPr>
        <w:t>Payen</w:t>
      </w:r>
      <w:proofErr w:type="spellEnd"/>
      <w:r w:rsidRPr="00DA6A55">
        <w:rPr>
          <w:rFonts w:ascii="Times New Roman" w:hAnsi="Times New Roman" w:cs="Times New Roman"/>
          <w:color w:val="000000"/>
          <w:sz w:val="20"/>
          <w:szCs w:val="20"/>
        </w:rPr>
        <w:t xml:space="preserve">, E.; </w:t>
      </w:r>
      <w:proofErr w:type="spellStart"/>
      <w:r w:rsidRPr="00DA6A55">
        <w:rPr>
          <w:rFonts w:ascii="Times New Roman" w:hAnsi="Times New Roman" w:cs="Times New Roman"/>
          <w:color w:val="000000"/>
          <w:sz w:val="20"/>
          <w:szCs w:val="20"/>
        </w:rPr>
        <w:t>Semerano</w:t>
      </w:r>
      <w:proofErr w:type="spellEnd"/>
      <w:r w:rsidRPr="00DA6A55">
        <w:rPr>
          <w:rFonts w:ascii="Times New Roman" w:hAnsi="Times New Roman" w:cs="Times New Roman"/>
          <w:color w:val="000000"/>
          <w:sz w:val="20"/>
          <w:szCs w:val="20"/>
        </w:rPr>
        <w:t xml:space="preserve">, M.; et al. Gene Therapy in Patients with Transfusion-Dependent _-Thalassemia. N. Engl. J. Med. </w:t>
      </w:r>
      <w:r w:rsidRPr="00DA6A55">
        <w:rPr>
          <w:rFonts w:ascii="Times New Roman" w:hAnsi="Times New Roman" w:cs="Times New Roman"/>
          <w:b/>
          <w:bCs/>
          <w:color w:val="000000"/>
          <w:sz w:val="20"/>
          <w:szCs w:val="20"/>
        </w:rPr>
        <w:t>2018</w:t>
      </w:r>
      <w:r w:rsidRPr="00DA6A55">
        <w:rPr>
          <w:rFonts w:ascii="Times New Roman" w:hAnsi="Times New Roman" w:cs="Times New Roman"/>
          <w:color w:val="000000"/>
          <w:sz w:val="20"/>
          <w:szCs w:val="20"/>
        </w:rPr>
        <w:t>, 378, 1479–1493. [</w:t>
      </w:r>
      <w:proofErr w:type="spellStart"/>
      <w:r w:rsidRPr="00DA6A55">
        <w:rPr>
          <w:rFonts w:ascii="Times New Roman" w:hAnsi="Times New Roman" w:cs="Times New Roman"/>
          <w:color w:val="0875B8"/>
          <w:sz w:val="20"/>
          <w:szCs w:val="20"/>
        </w:rPr>
        <w:t>CrossRef</w:t>
      </w:r>
      <w:proofErr w:type="spellEnd"/>
      <w:r w:rsidRPr="00DA6A55">
        <w:rPr>
          <w:rFonts w:ascii="Times New Roman" w:hAnsi="Times New Roman" w:cs="Times New Roman"/>
          <w:color w:val="000000"/>
          <w:sz w:val="20"/>
          <w:szCs w:val="20"/>
        </w:rPr>
        <w:t>] [</w:t>
      </w:r>
      <w:r w:rsidRPr="00DA6A55">
        <w:rPr>
          <w:rFonts w:ascii="Times New Roman" w:hAnsi="Times New Roman" w:cs="Times New Roman"/>
          <w:color w:val="0875B8"/>
          <w:sz w:val="20"/>
          <w:szCs w:val="20"/>
        </w:rPr>
        <w:t>PubMed</w:t>
      </w:r>
      <w:r w:rsidRPr="00DA6A55">
        <w:rPr>
          <w:rFonts w:ascii="Times New Roman" w:hAnsi="Times New Roman" w:cs="Times New Roman"/>
          <w:color w:val="000000"/>
          <w:sz w:val="20"/>
          <w:szCs w:val="20"/>
        </w:rPr>
        <w:t>]</w:t>
      </w:r>
    </w:p>
    <w:p w:rsidR="00DA6A55" w:rsidRPr="00DA6A55" w:rsidRDefault="00DA6A55" w:rsidP="00DA6A55">
      <w:pPr>
        <w:pStyle w:val="ListParagraph"/>
        <w:numPr>
          <w:ilvl w:val="0"/>
          <w:numId w:val="3"/>
        </w:numPr>
        <w:autoSpaceDE w:val="0"/>
        <w:autoSpaceDN w:val="0"/>
        <w:adjustRightInd w:val="0"/>
        <w:spacing w:line="276" w:lineRule="auto"/>
        <w:rPr>
          <w:rFonts w:ascii="Times New Roman" w:hAnsi="Times New Roman" w:cs="Times New Roman"/>
          <w:color w:val="000000"/>
          <w:sz w:val="20"/>
          <w:szCs w:val="20"/>
        </w:rPr>
      </w:pPr>
      <w:proofErr w:type="spellStart"/>
      <w:r w:rsidRPr="00DA6A55">
        <w:rPr>
          <w:rFonts w:ascii="Times New Roman" w:hAnsi="Times New Roman" w:cs="Times New Roman"/>
          <w:color w:val="000000"/>
          <w:sz w:val="20"/>
          <w:szCs w:val="20"/>
        </w:rPr>
        <w:t>Coquerelle</w:t>
      </w:r>
      <w:proofErr w:type="spellEnd"/>
      <w:r w:rsidRPr="00DA6A55">
        <w:rPr>
          <w:rFonts w:ascii="Times New Roman" w:hAnsi="Times New Roman" w:cs="Times New Roman"/>
          <w:color w:val="000000"/>
          <w:sz w:val="20"/>
          <w:szCs w:val="20"/>
        </w:rPr>
        <w:t xml:space="preserve">, S.; </w:t>
      </w:r>
      <w:proofErr w:type="spellStart"/>
      <w:r w:rsidRPr="00DA6A55">
        <w:rPr>
          <w:rFonts w:ascii="Times New Roman" w:hAnsi="Times New Roman" w:cs="Times New Roman"/>
          <w:color w:val="000000"/>
          <w:sz w:val="20"/>
          <w:szCs w:val="20"/>
        </w:rPr>
        <w:t>Ghardallou</w:t>
      </w:r>
      <w:proofErr w:type="spellEnd"/>
      <w:r w:rsidRPr="00DA6A55">
        <w:rPr>
          <w:rFonts w:ascii="Times New Roman" w:hAnsi="Times New Roman" w:cs="Times New Roman"/>
          <w:color w:val="000000"/>
          <w:sz w:val="20"/>
          <w:szCs w:val="20"/>
        </w:rPr>
        <w:t xml:space="preserve">, M.; </w:t>
      </w:r>
      <w:proofErr w:type="spellStart"/>
      <w:r w:rsidRPr="00DA6A55">
        <w:rPr>
          <w:rFonts w:ascii="Times New Roman" w:hAnsi="Times New Roman" w:cs="Times New Roman"/>
          <w:color w:val="000000"/>
          <w:sz w:val="20"/>
          <w:szCs w:val="20"/>
        </w:rPr>
        <w:t>Rais</w:t>
      </w:r>
      <w:proofErr w:type="spellEnd"/>
      <w:r w:rsidRPr="00DA6A55">
        <w:rPr>
          <w:rFonts w:ascii="Times New Roman" w:hAnsi="Times New Roman" w:cs="Times New Roman"/>
          <w:color w:val="000000"/>
          <w:sz w:val="20"/>
          <w:szCs w:val="20"/>
        </w:rPr>
        <w:t xml:space="preserve">, S.; </w:t>
      </w:r>
      <w:proofErr w:type="spellStart"/>
      <w:r w:rsidRPr="00DA6A55">
        <w:rPr>
          <w:rFonts w:ascii="Times New Roman" w:hAnsi="Times New Roman" w:cs="Times New Roman"/>
          <w:color w:val="000000"/>
          <w:sz w:val="20"/>
          <w:szCs w:val="20"/>
        </w:rPr>
        <w:t>Taupin</w:t>
      </w:r>
      <w:proofErr w:type="spellEnd"/>
      <w:r w:rsidRPr="00DA6A55">
        <w:rPr>
          <w:rFonts w:ascii="Times New Roman" w:hAnsi="Times New Roman" w:cs="Times New Roman"/>
          <w:color w:val="000000"/>
          <w:sz w:val="20"/>
          <w:szCs w:val="20"/>
        </w:rPr>
        <w:t xml:space="preserve">, P.; </w:t>
      </w:r>
      <w:proofErr w:type="spellStart"/>
      <w:r w:rsidRPr="00DA6A55">
        <w:rPr>
          <w:rFonts w:ascii="Times New Roman" w:hAnsi="Times New Roman" w:cs="Times New Roman"/>
          <w:color w:val="000000"/>
          <w:sz w:val="20"/>
          <w:szCs w:val="20"/>
        </w:rPr>
        <w:t>Touzot</w:t>
      </w:r>
      <w:proofErr w:type="spellEnd"/>
      <w:r w:rsidRPr="00DA6A55">
        <w:rPr>
          <w:rFonts w:ascii="Times New Roman" w:hAnsi="Times New Roman" w:cs="Times New Roman"/>
          <w:color w:val="000000"/>
          <w:sz w:val="20"/>
          <w:szCs w:val="20"/>
        </w:rPr>
        <w:t xml:space="preserve">, F.; </w:t>
      </w:r>
      <w:proofErr w:type="spellStart"/>
      <w:r w:rsidRPr="00DA6A55">
        <w:rPr>
          <w:rFonts w:ascii="Times New Roman" w:hAnsi="Times New Roman" w:cs="Times New Roman"/>
          <w:color w:val="000000"/>
          <w:sz w:val="20"/>
          <w:szCs w:val="20"/>
        </w:rPr>
        <w:t>Bowuet</w:t>
      </w:r>
      <w:proofErr w:type="spellEnd"/>
      <w:r w:rsidRPr="00DA6A55">
        <w:rPr>
          <w:rFonts w:ascii="Times New Roman" w:hAnsi="Times New Roman" w:cs="Times New Roman"/>
          <w:color w:val="000000"/>
          <w:sz w:val="20"/>
          <w:szCs w:val="20"/>
        </w:rPr>
        <w:t xml:space="preserve">, L.; Blanche, S.; </w:t>
      </w:r>
      <w:proofErr w:type="spellStart"/>
      <w:r w:rsidRPr="00DA6A55">
        <w:rPr>
          <w:rFonts w:ascii="Times New Roman" w:hAnsi="Times New Roman" w:cs="Times New Roman"/>
          <w:color w:val="000000"/>
          <w:sz w:val="20"/>
          <w:szCs w:val="20"/>
        </w:rPr>
        <w:t>Benaouadi</w:t>
      </w:r>
      <w:proofErr w:type="spellEnd"/>
      <w:r w:rsidRPr="00DA6A55">
        <w:rPr>
          <w:rFonts w:ascii="Times New Roman" w:hAnsi="Times New Roman" w:cs="Times New Roman"/>
          <w:color w:val="000000"/>
          <w:sz w:val="20"/>
          <w:szCs w:val="20"/>
        </w:rPr>
        <w:t xml:space="preserve">, S.; Brice, T.; </w:t>
      </w:r>
      <w:proofErr w:type="spellStart"/>
      <w:r w:rsidRPr="00DA6A55">
        <w:rPr>
          <w:rFonts w:ascii="Times New Roman" w:hAnsi="Times New Roman" w:cs="Times New Roman"/>
          <w:color w:val="000000"/>
          <w:sz w:val="20"/>
          <w:szCs w:val="20"/>
        </w:rPr>
        <w:t>Tuchmann</w:t>
      </w:r>
      <w:proofErr w:type="spellEnd"/>
      <w:r w:rsidRPr="00DA6A55">
        <w:rPr>
          <w:rFonts w:ascii="Times New Roman" w:hAnsi="Times New Roman" w:cs="Times New Roman"/>
          <w:color w:val="000000"/>
          <w:sz w:val="20"/>
          <w:szCs w:val="20"/>
        </w:rPr>
        <w:t xml:space="preserve">- Durand, C.; et al. Innovative Curative Treatment of Beta Thalassemia: Cost-Efficacy Analysis of Gene Therapy Versus </w:t>
      </w:r>
      <w:proofErr w:type="spellStart"/>
      <w:r w:rsidRPr="00DA6A55">
        <w:rPr>
          <w:rFonts w:ascii="Times New Roman" w:hAnsi="Times New Roman" w:cs="Times New Roman"/>
          <w:color w:val="000000"/>
          <w:sz w:val="20"/>
          <w:szCs w:val="20"/>
        </w:rPr>
        <w:t>Allogenic</w:t>
      </w:r>
      <w:proofErr w:type="spellEnd"/>
      <w:r w:rsidRPr="00DA6A55">
        <w:rPr>
          <w:rFonts w:ascii="Times New Roman" w:hAnsi="Times New Roman" w:cs="Times New Roman"/>
          <w:color w:val="000000"/>
          <w:sz w:val="20"/>
          <w:szCs w:val="20"/>
        </w:rPr>
        <w:t xml:space="preserve"> Hematopoietic Stem-Cell Transplantation. Hum. Gene </w:t>
      </w:r>
      <w:proofErr w:type="spellStart"/>
      <w:r w:rsidRPr="00DA6A55">
        <w:rPr>
          <w:rFonts w:ascii="Times New Roman" w:hAnsi="Times New Roman" w:cs="Times New Roman"/>
          <w:color w:val="000000"/>
          <w:sz w:val="20"/>
          <w:szCs w:val="20"/>
        </w:rPr>
        <w:t>Ther</w:t>
      </w:r>
      <w:proofErr w:type="spellEnd"/>
      <w:r w:rsidRPr="00DA6A55">
        <w:rPr>
          <w:rFonts w:ascii="Times New Roman" w:hAnsi="Times New Roman" w:cs="Times New Roman"/>
          <w:color w:val="000000"/>
          <w:sz w:val="20"/>
          <w:szCs w:val="20"/>
        </w:rPr>
        <w:t xml:space="preserve">. </w:t>
      </w:r>
      <w:r w:rsidRPr="00DA6A55">
        <w:rPr>
          <w:rFonts w:ascii="Times New Roman" w:hAnsi="Times New Roman" w:cs="Times New Roman"/>
          <w:b/>
          <w:bCs/>
          <w:color w:val="000000"/>
          <w:sz w:val="20"/>
          <w:szCs w:val="20"/>
        </w:rPr>
        <w:t>2019</w:t>
      </w:r>
      <w:r w:rsidRPr="00DA6A55">
        <w:rPr>
          <w:rFonts w:ascii="Times New Roman" w:hAnsi="Times New Roman" w:cs="Times New Roman"/>
          <w:color w:val="000000"/>
          <w:sz w:val="20"/>
          <w:szCs w:val="20"/>
        </w:rPr>
        <w:t>, 30, 753–761. [</w:t>
      </w:r>
      <w:proofErr w:type="spellStart"/>
      <w:r w:rsidRPr="00DA6A55">
        <w:rPr>
          <w:rFonts w:ascii="Times New Roman" w:hAnsi="Times New Roman" w:cs="Times New Roman"/>
          <w:color w:val="0875B8"/>
          <w:sz w:val="20"/>
          <w:szCs w:val="20"/>
        </w:rPr>
        <w:t>CrossRef</w:t>
      </w:r>
      <w:proofErr w:type="spellEnd"/>
      <w:r w:rsidRPr="00DA6A55">
        <w:rPr>
          <w:rFonts w:ascii="Times New Roman" w:hAnsi="Times New Roman" w:cs="Times New Roman"/>
          <w:color w:val="000000"/>
          <w:sz w:val="20"/>
          <w:szCs w:val="20"/>
        </w:rPr>
        <w:t>] [</w:t>
      </w:r>
      <w:r w:rsidRPr="00DA6A55">
        <w:rPr>
          <w:rFonts w:ascii="Times New Roman" w:hAnsi="Times New Roman" w:cs="Times New Roman"/>
          <w:color w:val="0875B8"/>
          <w:sz w:val="20"/>
          <w:szCs w:val="20"/>
        </w:rPr>
        <w:t>PubMed</w:t>
      </w:r>
      <w:r w:rsidRPr="00DA6A55">
        <w:rPr>
          <w:rFonts w:ascii="Times New Roman" w:hAnsi="Times New Roman" w:cs="Times New Roman"/>
          <w:color w:val="000000"/>
          <w:sz w:val="20"/>
          <w:szCs w:val="20"/>
        </w:rPr>
        <w:t xml:space="preserve">] </w:t>
      </w:r>
    </w:p>
    <w:p w:rsidR="00DA6A55" w:rsidRPr="00DA6A55" w:rsidRDefault="00DA6A55" w:rsidP="00DA6A55">
      <w:pPr>
        <w:pStyle w:val="ListParagraph"/>
        <w:numPr>
          <w:ilvl w:val="0"/>
          <w:numId w:val="3"/>
        </w:numPr>
        <w:autoSpaceDE w:val="0"/>
        <w:autoSpaceDN w:val="0"/>
        <w:adjustRightInd w:val="0"/>
        <w:spacing w:line="276" w:lineRule="auto"/>
        <w:rPr>
          <w:rFonts w:ascii="Times New Roman" w:hAnsi="Times New Roman" w:cs="Times New Roman"/>
          <w:color w:val="000000"/>
          <w:sz w:val="20"/>
          <w:szCs w:val="20"/>
        </w:rPr>
      </w:pPr>
      <w:proofErr w:type="spellStart"/>
      <w:r w:rsidRPr="00DA6A55">
        <w:rPr>
          <w:rFonts w:ascii="Times New Roman" w:hAnsi="Times New Roman" w:cs="Times New Roman"/>
          <w:color w:val="000000"/>
          <w:sz w:val="20"/>
          <w:szCs w:val="20"/>
        </w:rPr>
        <w:t>Angelucci</w:t>
      </w:r>
      <w:proofErr w:type="spellEnd"/>
      <w:r w:rsidRPr="00DA6A55">
        <w:rPr>
          <w:rFonts w:ascii="Times New Roman" w:hAnsi="Times New Roman" w:cs="Times New Roman"/>
          <w:color w:val="000000"/>
          <w:sz w:val="20"/>
          <w:szCs w:val="20"/>
        </w:rPr>
        <w:t xml:space="preserve">, E.; </w:t>
      </w:r>
      <w:proofErr w:type="spellStart"/>
      <w:r w:rsidRPr="00DA6A55">
        <w:rPr>
          <w:rFonts w:ascii="Times New Roman" w:hAnsi="Times New Roman" w:cs="Times New Roman"/>
          <w:color w:val="000000"/>
          <w:sz w:val="20"/>
          <w:szCs w:val="20"/>
        </w:rPr>
        <w:t>Matthes</w:t>
      </w:r>
      <w:proofErr w:type="spellEnd"/>
      <w:r w:rsidRPr="00DA6A55">
        <w:rPr>
          <w:rFonts w:ascii="Times New Roman" w:hAnsi="Times New Roman" w:cs="Times New Roman"/>
          <w:color w:val="000000"/>
          <w:sz w:val="20"/>
          <w:szCs w:val="20"/>
        </w:rPr>
        <w:t xml:space="preserve">-Martin, S.; </w:t>
      </w:r>
      <w:proofErr w:type="spellStart"/>
      <w:r w:rsidRPr="00DA6A55">
        <w:rPr>
          <w:rFonts w:ascii="Times New Roman" w:hAnsi="Times New Roman" w:cs="Times New Roman"/>
          <w:color w:val="000000"/>
          <w:sz w:val="20"/>
          <w:szCs w:val="20"/>
        </w:rPr>
        <w:t>Baronciani</w:t>
      </w:r>
      <w:proofErr w:type="spellEnd"/>
      <w:r w:rsidRPr="00DA6A55">
        <w:rPr>
          <w:rFonts w:ascii="Times New Roman" w:hAnsi="Times New Roman" w:cs="Times New Roman"/>
          <w:color w:val="000000"/>
          <w:sz w:val="20"/>
          <w:szCs w:val="20"/>
        </w:rPr>
        <w:t xml:space="preserve">, D.; </w:t>
      </w:r>
      <w:proofErr w:type="spellStart"/>
      <w:r w:rsidRPr="00DA6A55">
        <w:rPr>
          <w:rFonts w:ascii="Times New Roman" w:hAnsi="Times New Roman" w:cs="Times New Roman"/>
          <w:color w:val="000000"/>
          <w:sz w:val="20"/>
          <w:szCs w:val="20"/>
        </w:rPr>
        <w:t>Bernaudin</w:t>
      </w:r>
      <w:proofErr w:type="spellEnd"/>
      <w:r w:rsidRPr="00DA6A55">
        <w:rPr>
          <w:rFonts w:ascii="Times New Roman" w:hAnsi="Times New Roman" w:cs="Times New Roman"/>
          <w:color w:val="000000"/>
          <w:sz w:val="20"/>
          <w:szCs w:val="20"/>
        </w:rPr>
        <w:t xml:space="preserve">, F.; </w:t>
      </w:r>
      <w:proofErr w:type="spellStart"/>
      <w:r w:rsidRPr="00DA6A55">
        <w:rPr>
          <w:rFonts w:ascii="Times New Roman" w:hAnsi="Times New Roman" w:cs="Times New Roman"/>
          <w:color w:val="000000"/>
          <w:sz w:val="20"/>
          <w:szCs w:val="20"/>
        </w:rPr>
        <w:t>Bonanomi</w:t>
      </w:r>
      <w:proofErr w:type="spellEnd"/>
      <w:r w:rsidRPr="00DA6A55">
        <w:rPr>
          <w:rFonts w:ascii="Times New Roman" w:hAnsi="Times New Roman" w:cs="Times New Roman"/>
          <w:color w:val="000000"/>
          <w:sz w:val="20"/>
          <w:szCs w:val="20"/>
        </w:rPr>
        <w:t xml:space="preserve">, S.; </w:t>
      </w:r>
      <w:proofErr w:type="spellStart"/>
      <w:r w:rsidRPr="00DA6A55">
        <w:rPr>
          <w:rFonts w:ascii="Times New Roman" w:hAnsi="Times New Roman" w:cs="Times New Roman"/>
          <w:color w:val="000000"/>
          <w:sz w:val="20"/>
          <w:szCs w:val="20"/>
        </w:rPr>
        <w:t>Cappellini</w:t>
      </w:r>
      <w:proofErr w:type="spellEnd"/>
      <w:r w:rsidRPr="00DA6A55">
        <w:rPr>
          <w:rFonts w:ascii="Times New Roman" w:hAnsi="Times New Roman" w:cs="Times New Roman"/>
          <w:color w:val="000000"/>
          <w:sz w:val="20"/>
          <w:szCs w:val="20"/>
        </w:rPr>
        <w:t xml:space="preserve">, M.D.; </w:t>
      </w:r>
      <w:proofErr w:type="spellStart"/>
      <w:r w:rsidRPr="00DA6A55">
        <w:rPr>
          <w:rFonts w:ascii="Times New Roman" w:hAnsi="Times New Roman" w:cs="Times New Roman"/>
          <w:color w:val="000000"/>
          <w:sz w:val="20"/>
          <w:szCs w:val="20"/>
        </w:rPr>
        <w:t>Dalle</w:t>
      </w:r>
      <w:proofErr w:type="spellEnd"/>
      <w:r w:rsidRPr="00DA6A55">
        <w:rPr>
          <w:rFonts w:ascii="Times New Roman" w:hAnsi="Times New Roman" w:cs="Times New Roman"/>
          <w:color w:val="000000"/>
          <w:sz w:val="20"/>
          <w:szCs w:val="20"/>
        </w:rPr>
        <w:t xml:space="preserve">, J.-H.; Di </w:t>
      </w:r>
      <w:proofErr w:type="spellStart"/>
      <w:r w:rsidRPr="00DA6A55">
        <w:rPr>
          <w:rFonts w:ascii="Times New Roman" w:hAnsi="Times New Roman" w:cs="Times New Roman"/>
          <w:color w:val="000000"/>
          <w:sz w:val="20"/>
          <w:szCs w:val="20"/>
        </w:rPr>
        <w:t>Bartolomeo</w:t>
      </w:r>
      <w:proofErr w:type="spellEnd"/>
      <w:r w:rsidRPr="00DA6A55">
        <w:rPr>
          <w:rFonts w:ascii="Times New Roman" w:hAnsi="Times New Roman" w:cs="Times New Roman"/>
          <w:color w:val="000000"/>
          <w:sz w:val="20"/>
          <w:szCs w:val="20"/>
        </w:rPr>
        <w:t xml:space="preserve">, P.; de Heredia, C.D.; EBMT Inborn Error and EBMT </w:t>
      </w:r>
      <w:proofErr w:type="spellStart"/>
      <w:r w:rsidRPr="00DA6A55">
        <w:rPr>
          <w:rFonts w:ascii="Times New Roman" w:hAnsi="Times New Roman" w:cs="Times New Roman"/>
          <w:color w:val="000000"/>
          <w:sz w:val="20"/>
          <w:szCs w:val="20"/>
        </w:rPr>
        <w:t>PaediatricWorking</w:t>
      </w:r>
      <w:proofErr w:type="spellEnd"/>
      <w:r w:rsidRPr="00DA6A55">
        <w:rPr>
          <w:rFonts w:ascii="Times New Roman" w:hAnsi="Times New Roman" w:cs="Times New Roman"/>
          <w:color w:val="000000"/>
          <w:sz w:val="20"/>
          <w:szCs w:val="20"/>
        </w:rPr>
        <w:t xml:space="preserve"> Parties; et al. Hematopoietic stem cell transplantation in thalassemia major and sickle cell disease: Indications and management recommendations from an international expert panel. </w:t>
      </w:r>
      <w:proofErr w:type="spellStart"/>
      <w:r w:rsidRPr="00DA6A55">
        <w:rPr>
          <w:rFonts w:ascii="Times New Roman" w:hAnsi="Times New Roman" w:cs="Times New Roman"/>
          <w:color w:val="000000"/>
          <w:sz w:val="20"/>
          <w:szCs w:val="20"/>
        </w:rPr>
        <w:t>Haematologica</w:t>
      </w:r>
      <w:proofErr w:type="spellEnd"/>
      <w:r w:rsidRPr="00DA6A55">
        <w:rPr>
          <w:rFonts w:ascii="Times New Roman" w:hAnsi="Times New Roman" w:cs="Times New Roman"/>
          <w:color w:val="000000"/>
          <w:sz w:val="20"/>
          <w:szCs w:val="20"/>
        </w:rPr>
        <w:t xml:space="preserve"> </w:t>
      </w:r>
      <w:r w:rsidRPr="00DA6A55">
        <w:rPr>
          <w:rFonts w:ascii="Times New Roman" w:hAnsi="Times New Roman" w:cs="Times New Roman"/>
          <w:b/>
          <w:bCs/>
          <w:color w:val="000000"/>
          <w:sz w:val="20"/>
          <w:szCs w:val="20"/>
        </w:rPr>
        <w:t>2014</w:t>
      </w:r>
      <w:r w:rsidRPr="00DA6A55">
        <w:rPr>
          <w:rFonts w:ascii="Times New Roman" w:hAnsi="Times New Roman" w:cs="Times New Roman"/>
          <w:color w:val="000000"/>
          <w:sz w:val="20"/>
          <w:szCs w:val="20"/>
        </w:rPr>
        <w:t>, 99, 811–820. [</w:t>
      </w:r>
      <w:proofErr w:type="spellStart"/>
      <w:r w:rsidRPr="00DA6A55">
        <w:rPr>
          <w:rFonts w:ascii="Times New Roman" w:hAnsi="Times New Roman" w:cs="Times New Roman"/>
          <w:color w:val="0875B8"/>
          <w:sz w:val="20"/>
          <w:szCs w:val="20"/>
        </w:rPr>
        <w:t>CrossRef</w:t>
      </w:r>
      <w:proofErr w:type="spellEnd"/>
      <w:r w:rsidRPr="00DA6A55">
        <w:rPr>
          <w:rFonts w:ascii="Times New Roman" w:hAnsi="Times New Roman" w:cs="Times New Roman"/>
          <w:color w:val="000000"/>
          <w:sz w:val="20"/>
          <w:szCs w:val="20"/>
        </w:rPr>
        <w:t>] [</w:t>
      </w:r>
      <w:r w:rsidRPr="00DA6A55">
        <w:rPr>
          <w:rFonts w:ascii="Times New Roman" w:hAnsi="Times New Roman" w:cs="Times New Roman"/>
          <w:color w:val="0875B8"/>
          <w:sz w:val="20"/>
          <w:szCs w:val="20"/>
        </w:rPr>
        <w:t>PubMed</w:t>
      </w:r>
      <w:r w:rsidRPr="00DA6A55">
        <w:rPr>
          <w:rFonts w:ascii="Times New Roman" w:hAnsi="Times New Roman" w:cs="Times New Roman"/>
          <w:color w:val="000000"/>
          <w:sz w:val="20"/>
          <w:szCs w:val="20"/>
        </w:rPr>
        <w:t>]</w:t>
      </w:r>
    </w:p>
    <w:p w:rsidR="00DA6A55" w:rsidRPr="00DA6A55" w:rsidRDefault="00DA6A55" w:rsidP="00DA6A55">
      <w:pPr>
        <w:pStyle w:val="ListParagraph"/>
        <w:numPr>
          <w:ilvl w:val="0"/>
          <w:numId w:val="3"/>
        </w:numPr>
        <w:autoSpaceDE w:val="0"/>
        <w:autoSpaceDN w:val="0"/>
        <w:adjustRightInd w:val="0"/>
        <w:spacing w:line="276" w:lineRule="auto"/>
        <w:rPr>
          <w:rFonts w:ascii="Times New Roman" w:hAnsi="Times New Roman" w:cs="Times New Roman"/>
          <w:color w:val="000000"/>
          <w:sz w:val="20"/>
          <w:szCs w:val="20"/>
        </w:rPr>
      </w:pPr>
      <w:r w:rsidRPr="00DA6A55">
        <w:rPr>
          <w:rFonts w:ascii="Times New Roman" w:hAnsi="Times New Roman" w:cs="Times New Roman"/>
          <w:color w:val="000000"/>
          <w:sz w:val="20"/>
          <w:szCs w:val="20"/>
        </w:rPr>
        <w:t xml:space="preserve">Temple, G.F.; Dozy, A.M.; Roy, K.L.; </w:t>
      </w:r>
      <w:proofErr w:type="spellStart"/>
      <w:r w:rsidRPr="00DA6A55">
        <w:rPr>
          <w:rFonts w:ascii="Times New Roman" w:hAnsi="Times New Roman" w:cs="Times New Roman"/>
          <w:color w:val="000000"/>
          <w:sz w:val="20"/>
          <w:szCs w:val="20"/>
        </w:rPr>
        <w:t>Kan</w:t>
      </w:r>
      <w:proofErr w:type="spellEnd"/>
      <w:r w:rsidRPr="00DA6A55">
        <w:rPr>
          <w:rFonts w:ascii="Times New Roman" w:hAnsi="Times New Roman" w:cs="Times New Roman"/>
          <w:color w:val="000000"/>
          <w:sz w:val="20"/>
          <w:szCs w:val="20"/>
        </w:rPr>
        <w:t xml:space="preserve">, Y.W. Construction of a functional human suppressor </w:t>
      </w:r>
      <w:proofErr w:type="spellStart"/>
      <w:r w:rsidRPr="00DA6A55">
        <w:rPr>
          <w:rFonts w:ascii="Times New Roman" w:hAnsi="Times New Roman" w:cs="Times New Roman"/>
          <w:color w:val="000000"/>
          <w:sz w:val="20"/>
          <w:szCs w:val="20"/>
        </w:rPr>
        <w:t>tRNA</w:t>
      </w:r>
      <w:proofErr w:type="spellEnd"/>
      <w:r w:rsidRPr="00DA6A55">
        <w:rPr>
          <w:rFonts w:ascii="Times New Roman" w:hAnsi="Times New Roman" w:cs="Times New Roman"/>
          <w:color w:val="000000"/>
          <w:sz w:val="20"/>
          <w:szCs w:val="20"/>
        </w:rPr>
        <w:t xml:space="preserve"> gene: An approach to gene therapy for beta-</w:t>
      </w:r>
      <w:proofErr w:type="spellStart"/>
      <w:r w:rsidRPr="00DA6A55">
        <w:rPr>
          <w:rFonts w:ascii="Times New Roman" w:hAnsi="Times New Roman" w:cs="Times New Roman"/>
          <w:color w:val="000000"/>
          <w:sz w:val="20"/>
          <w:szCs w:val="20"/>
        </w:rPr>
        <w:t>thalassaemia</w:t>
      </w:r>
      <w:proofErr w:type="spellEnd"/>
      <w:r w:rsidRPr="00DA6A55">
        <w:rPr>
          <w:rFonts w:ascii="Times New Roman" w:hAnsi="Times New Roman" w:cs="Times New Roman"/>
          <w:color w:val="000000"/>
          <w:sz w:val="20"/>
          <w:szCs w:val="20"/>
        </w:rPr>
        <w:t xml:space="preserve">. Nature </w:t>
      </w:r>
      <w:r w:rsidRPr="00DA6A55">
        <w:rPr>
          <w:rFonts w:ascii="Times New Roman" w:hAnsi="Times New Roman" w:cs="Times New Roman"/>
          <w:b/>
          <w:bCs/>
          <w:color w:val="000000"/>
          <w:sz w:val="20"/>
          <w:szCs w:val="20"/>
        </w:rPr>
        <w:t>1982</w:t>
      </w:r>
      <w:r w:rsidRPr="00DA6A55">
        <w:rPr>
          <w:rFonts w:ascii="Times New Roman" w:hAnsi="Times New Roman" w:cs="Times New Roman"/>
          <w:color w:val="000000"/>
          <w:sz w:val="20"/>
          <w:szCs w:val="20"/>
        </w:rPr>
        <w:t>, 296, 537–540. [</w:t>
      </w:r>
      <w:proofErr w:type="spellStart"/>
      <w:r w:rsidRPr="00DA6A55">
        <w:rPr>
          <w:rFonts w:ascii="Times New Roman" w:hAnsi="Times New Roman" w:cs="Times New Roman"/>
          <w:color w:val="0875B8"/>
          <w:sz w:val="20"/>
          <w:szCs w:val="20"/>
        </w:rPr>
        <w:t>CrossRef</w:t>
      </w:r>
      <w:proofErr w:type="spellEnd"/>
      <w:r w:rsidRPr="00DA6A55">
        <w:rPr>
          <w:rFonts w:ascii="Times New Roman" w:hAnsi="Times New Roman" w:cs="Times New Roman"/>
          <w:color w:val="000000"/>
          <w:sz w:val="20"/>
          <w:szCs w:val="20"/>
        </w:rPr>
        <w:t>] [</w:t>
      </w:r>
      <w:r w:rsidRPr="00DA6A55">
        <w:rPr>
          <w:rFonts w:ascii="Times New Roman" w:hAnsi="Times New Roman" w:cs="Times New Roman"/>
          <w:color w:val="0875B8"/>
          <w:sz w:val="20"/>
          <w:szCs w:val="20"/>
        </w:rPr>
        <w:t>PubMed</w:t>
      </w:r>
      <w:r w:rsidRPr="00DA6A55">
        <w:rPr>
          <w:rFonts w:ascii="Times New Roman" w:hAnsi="Times New Roman" w:cs="Times New Roman"/>
          <w:color w:val="000000"/>
          <w:sz w:val="20"/>
          <w:szCs w:val="20"/>
        </w:rPr>
        <w:t>]</w:t>
      </w:r>
    </w:p>
    <w:p w:rsidR="00DA6A55" w:rsidRPr="00DA6A55" w:rsidRDefault="00DA6A55" w:rsidP="00DA6A55">
      <w:pPr>
        <w:pStyle w:val="ListParagraph"/>
        <w:numPr>
          <w:ilvl w:val="0"/>
          <w:numId w:val="3"/>
        </w:numPr>
        <w:autoSpaceDE w:val="0"/>
        <w:autoSpaceDN w:val="0"/>
        <w:adjustRightInd w:val="0"/>
        <w:spacing w:line="276" w:lineRule="auto"/>
        <w:rPr>
          <w:rFonts w:ascii="Times New Roman" w:hAnsi="Times New Roman" w:cs="Times New Roman"/>
          <w:color w:val="000000"/>
          <w:sz w:val="20"/>
          <w:szCs w:val="20"/>
        </w:rPr>
      </w:pPr>
      <w:proofErr w:type="spellStart"/>
      <w:r w:rsidRPr="00DA6A55">
        <w:rPr>
          <w:rFonts w:ascii="Times New Roman" w:hAnsi="Times New Roman" w:cs="Times New Roman"/>
          <w:color w:val="000000"/>
          <w:sz w:val="20"/>
          <w:szCs w:val="20"/>
        </w:rPr>
        <w:t>Srivastava</w:t>
      </w:r>
      <w:proofErr w:type="spellEnd"/>
      <w:r w:rsidRPr="00DA6A55">
        <w:rPr>
          <w:rFonts w:ascii="Times New Roman" w:hAnsi="Times New Roman" w:cs="Times New Roman"/>
          <w:color w:val="000000"/>
          <w:sz w:val="20"/>
          <w:szCs w:val="20"/>
        </w:rPr>
        <w:t xml:space="preserve">, A.; </w:t>
      </w:r>
      <w:proofErr w:type="spellStart"/>
      <w:r w:rsidRPr="00DA6A55">
        <w:rPr>
          <w:rFonts w:ascii="Times New Roman" w:hAnsi="Times New Roman" w:cs="Times New Roman"/>
          <w:color w:val="000000"/>
          <w:sz w:val="20"/>
          <w:szCs w:val="20"/>
        </w:rPr>
        <w:t>Shaji</w:t>
      </w:r>
      <w:proofErr w:type="spellEnd"/>
      <w:r w:rsidRPr="00DA6A55">
        <w:rPr>
          <w:rFonts w:ascii="Times New Roman" w:hAnsi="Times New Roman" w:cs="Times New Roman"/>
          <w:color w:val="000000"/>
          <w:sz w:val="20"/>
          <w:szCs w:val="20"/>
        </w:rPr>
        <w:t xml:space="preserve">, R.V. Cure for thalassemia major—From allogeneic hematopoietic stem cell transplantation to gene therapy. </w:t>
      </w:r>
      <w:proofErr w:type="spellStart"/>
      <w:r w:rsidRPr="00DA6A55">
        <w:rPr>
          <w:rFonts w:ascii="Times New Roman" w:hAnsi="Times New Roman" w:cs="Times New Roman"/>
          <w:color w:val="000000"/>
          <w:sz w:val="20"/>
          <w:szCs w:val="20"/>
        </w:rPr>
        <w:t>Haematologica</w:t>
      </w:r>
      <w:proofErr w:type="spellEnd"/>
      <w:r w:rsidRPr="00DA6A55">
        <w:rPr>
          <w:rFonts w:ascii="Times New Roman" w:hAnsi="Times New Roman" w:cs="Times New Roman"/>
          <w:color w:val="000000"/>
          <w:sz w:val="20"/>
          <w:szCs w:val="20"/>
        </w:rPr>
        <w:t xml:space="preserve"> </w:t>
      </w:r>
      <w:r w:rsidRPr="00DA6A55">
        <w:rPr>
          <w:rFonts w:ascii="Times New Roman" w:hAnsi="Times New Roman" w:cs="Times New Roman"/>
          <w:b/>
          <w:bCs/>
          <w:color w:val="000000"/>
          <w:sz w:val="20"/>
          <w:szCs w:val="20"/>
        </w:rPr>
        <w:t>2017</w:t>
      </w:r>
      <w:r w:rsidRPr="00DA6A55">
        <w:rPr>
          <w:rFonts w:ascii="Times New Roman" w:hAnsi="Times New Roman" w:cs="Times New Roman"/>
          <w:color w:val="000000"/>
          <w:sz w:val="20"/>
          <w:szCs w:val="20"/>
        </w:rPr>
        <w:t>, 102, 214–223. [</w:t>
      </w:r>
      <w:proofErr w:type="spellStart"/>
      <w:r w:rsidRPr="00DA6A55">
        <w:rPr>
          <w:rFonts w:ascii="Times New Roman" w:hAnsi="Times New Roman" w:cs="Times New Roman"/>
          <w:color w:val="0875B8"/>
          <w:sz w:val="20"/>
          <w:szCs w:val="20"/>
        </w:rPr>
        <w:t>CrossRef</w:t>
      </w:r>
      <w:proofErr w:type="spellEnd"/>
      <w:r w:rsidRPr="00DA6A55">
        <w:rPr>
          <w:rFonts w:ascii="Times New Roman" w:hAnsi="Times New Roman" w:cs="Times New Roman"/>
          <w:color w:val="000000"/>
          <w:sz w:val="20"/>
          <w:szCs w:val="20"/>
        </w:rPr>
        <w:t>] [</w:t>
      </w:r>
      <w:r w:rsidRPr="00DA6A55">
        <w:rPr>
          <w:rFonts w:ascii="Times New Roman" w:hAnsi="Times New Roman" w:cs="Times New Roman"/>
          <w:color w:val="0875B8"/>
          <w:sz w:val="20"/>
          <w:szCs w:val="20"/>
        </w:rPr>
        <w:t>PubMed</w:t>
      </w:r>
      <w:r w:rsidRPr="00DA6A55">
        <w:rPr>
          <w:rFonts w:ascii="Times New Roman" w:hAnsi="Times New Roman" w:cs="Times New Roman"/>
          <w:color w:val="000000"/>
          <w:sz w:val="20"/>
          <w:szCs w:val="20"/>
        </w:rPr>
        <w:t>]</w:t>
      </w:r>
    </w:p>
    <w:p w:rsidR="00DA6A55" w:rsidRPr="00DA6A55" w:rsidRDefault="00DA6A55" w:rsidP="00DA6A55">
      <w:pPr>
        <w:pStyle w:val="ListParagraph"/>
        <w:numPr>
          <w:ilvl w:val="0"/>
          <w:numId w:val="3"/>
        </w:numPr>
        <w:autoSpaceDE w:val="0"/>
        <w:autoSpaceDN w:val="0"/>
        <w:adjustRightInd w:val="0"/>
        <w:spacing w:line="276" w:lineRule="auto"/>
        <w:rPr>
          <w:rFonts w:ascii="Times New Roman" w:hAnsi="Times New Roman" w:cs="Times New Roman"/>
          <w:color w:val="000000"/>
          <w:sz w:val="20"/>
          <w:szCs w:val="20"/>
        </w:rPr>
      </w:pPr>
      <w:proofErr w:type="spellStart"/>
      <w:r w:rsidRPr="00DA6A55">
        <w:rPr>
          <w:rFonts w:ascii="Times New Roman" w:hAnsi="Times New Roman" w:cs="Times New Roman"/>
          <w:color w:val="000000"/>
          <w:sz w:val="20"/>
          <w:szCs w:val="20"/>
        </w:rPr>
        <w:lastRenderedPageBreak/>
        <w:t>Taher</w:t>
      </w:r>
      <w:proofErr w:type="spellEnd"/>
      <w:r w:rsidRPr="00DA6A55">
        <w:rPr>
          <w:rFonts w:ascii="Times New Roman" w:hAnsi="Times New Roman" w:cs="Times New Roman"/>
          <w:color w:val="000000"/>
          <w:sz w:val="20"/>
          <w:szCs w:val="20"/>
        </w:rPr>
        <w:t>, A.T.</w:t>
      </w:r>
      <w:proofErr w:type="gramStart"/>
      <w:r w:rsidRPr="00DA6A55">
        <w:rPr>
          <w:rFonts w:ascii="Times New Roman" w:hAnsi="Times New Roman" w:cs="Times New Roman"/>
          <w:color w:val="000000"/>
          <w:sz w:val="20"/>
          <w:szCs w:val="20"/>
        </w:rPr>
        <w:t>;</w:t>
      </w:r>
      <w:proofErr w:type="spellStart"/>
      <w:r w:rsidRPr="00DA6A55">
        <w:rPr>
          <w:rFonts w:ascii="Times New Roman" w:hAnsi="Times New Roman" w:cs="Times New Roman"/>
          <w:color w:val="000000"/>
          <w:sz w:val="20"/>
          <w:szCs w:val="20"/>
        </w:rPr>
        <w:t>Weatherall</w:t>
      </w:r>
      <w:proofErr w:type="spellEnd"/>
      <w:proofErr w:type="gramEnd"/>
      <w:r w:rsidRPr="00DA6A55">
        <w:rPr>
          <w:rFonts w:ascii="Times New Roman" w:hAnsi="Times New Roman" w:cs="Times New Roman"/>
          <w:color w:val="000000"/>
          <w:sz w:val="20"/>
          <w:szCs w:val="20"/>
        </w:rPr>
        <w:t xml:space="preserve">, D.J.; </w:t>
      </w:r>
      <w:proofErr w:type="spellStart"/>
      <w:r w:rsidRPr="00DA6A55">
        <w:rPr>
          <w:rFonts w:ascii="Times New Roman" w:hAnsi="Times New Roman" w:cs="Times New Roman"/>
          <w:color w:val="000000"/>
          <w:sz w:val="20"/>
          <w:szCs w:val="20"/>
        </w:rPr>
        <w:t>Cappellini</w:t>
      </w:r>
      <w:proofErr w:type="spellEnd"/>
      <w:r w:rsidRPr="00DA6A55">
        <w:rPr>
          <w:rFonts w:ascii="Times New Roman" w:hAnsi="Times New Roman" w:cs="Times New Roman"/>
          <w:color w:val="000000"/>
          <w:sz w:val="20"/>
          <w:szCs w:val="20"/>
        </w:rPr>
        <w:t xml:space="preserve">, M.D. </w:t>
      </w:r>
      <w:proofErr w:type="spellStart"/>
      <w:r w:rsidRPr="00DA6A55">
        <w:rPr>
          <w:rFonts w:ascii="Times New Roman" w:hAnsi="Times New Roman" w:cs="Times New Roman"/>
          <w:color w:val="000000"/>
          <w:sz w:val="20"/>
          <w:szCs w:val="20"/>
        </w:rPr>
        <w:t>Thalassaemia</w:t>
      </w:r>
      <w:proofErr w:type="spellEnd"/>
      <w:r w:rsidRPr="00DA6A55">
        <w:rPr>
          <w:rFonts w:ascii="Times New Roman" w:hAnsi="Times New Roman" w:cs="Times New Roman"/>
          <w:color w:val="000000"/>
          <w:sz w:val="20"/>
          <w:szCs w:val="20"/>
        </w:rPr>
        <w:t xml:space="preserve">. Lancet </w:t>
      </w:r>
      <w:r w:rsidRPr="00DA6A55">
        <w:rPr>
          <w:rFonts w:ascii="Times New Roman" w:hAnsi="Times New Roman" w:cs="Times New Roman"/>
          <w:b/>
          <w:bCs/>
          <w:color w:val="000000"/>
          <w:sz w:val="20"/>
          <w:szCs w:val="20"/>
        </w:rPr>
        <w:t>2018</w:t>
      </w:r>
      <w:r w:rsidRPr="00DA6A55">
        <w:rPr>
          <w:rFonts w:ascii="Times New Roman" w:hAnsi="Times New Roman" w:cs="Times New Roman"/>
          <w:color w:val="000000"/>
          <w:sz w:val="20"/>
          <w:szCs w:val="20"/>
        </w:rPr>
        <w:t>, 391, 155–167. [</w:t>
      </w:r>
      <w:proofErr w:type="spellStart"/>
      <w:r w:rsidRPr="00DA6A55">
        <w:rPr>
          <w:rFonts w:ascii="Times New Roman" w:hAnsi="Times New Roman" w:cs="Times New Roman"/>
          <w:color w:val="0875B8"/>
          <w:sz w:val="20"/>
          <w:szCs w:val="20"/>
        </w:rPr>
        <w:t>CrossRef</w:t>
      </w:r>
      <w:proofErr w:type="spellEnd"/>
      <w:r w:rsidRPr="00DA6A55">
        <w:rPr>
          <w:rFonts w:ascii="Times New Roman" w:hAnsi="Times New Roman" w:cs="Times New Roman"/>
          <w:color w:val="000000"/>
          <w:sz w:val="20"/>
          <w:szCs w:val="20"/>
        </w:rPr>
        <w:t>] [</w:t>
      </w:r>
      <w:r w:rsidRPr="00DA6A55">
        <w:rPr>
          <w:rFonts w:ascii="Times New Roman" w:hAnsi="Times New Roman" w:cs="Times New Roman"/>
          <w:color w:val="0875B8"/>
          <w:sz w:val="20"/>
          <w:szCs w:val="20"/>
        </w:rPr>
        <w:t>PubMed</w:t>
      </w:r>
      <w:r w:rsidRPr="00DA6A55">
        <w:rPr>
          <w:rFonts w:ascii="Times New Roman" w:hAnsi="Times New Roman" w:cs="Times New Roman"/>
          <w:color w:val="000000"/>
          <w:sz w:val="20"/>
          <w:szCs w:val="20"/>
        </w:rPr>
        <w:t>]</w:t>
      </w:r>
    </w:p>
    <w:p w:rsidR="00DA6A55" w:rsidRPr="00DA6A55" w:rsidRDefault="00DA6A55" w:rsidP="00DA6A55">
      <w:pPr>
        <w:pStyle w:val="ListParagraph"/>
        <w:numPr>
          <w:ilvl w:val="0"/>
          <w:numId w:val="3"/>
        </w:numPr>
        <w:autoSpaceDE w:val="0"/>
        <w:autoSpaceDN w:val="0"/>
        <w:adjustRightInd w:val="0"/>
        <w:spacing w:line="276" w:lineRule="auto"/>
        <w:rPr>
          <w:rFonts w:ascii="Times New Roman" w:hAnsi="Times New Roman" w:cs="Times New Roman"/>
          <w:sz w:val="20"/>
          <w:szCs w:val="20"/>
          <w:lang w:val="en-NZ"/>
        </w:rPr>
      </w:pPr>
      <w:proofErr w:type="spellStart"/>
      <w:r w:rsidRPr="00DA6A55">
        <w:rPr>
          <w:rFonts w:ascii="Times New Roman" w:hAnsi="Times New Roman" w:cs="Times New Roman"/>
          <w:color w:val="000000"/>
          <w:sz w:val="20"/>
          <w:szCs w:val="20"/>
        </w:rPr>
        <w:t>Cappellini</w:t>
      </w:r>
      <w:proofErr w:type="spellEnd"/>
      <w:r w:rsidRPr="00DA6A55">
        <w:rPr>
          <w:rFonts w:ascii="Times New Roman" w:hAnsi="Times New Roman" w:cs="Times New Roman"/>
          <w:color w:val="000000"/>
          <w:sz w:val="20"/>
          <w:szCs w:val="20"/>
        </w:rPr>
        <w:t xml:space="preserve">, M.D.; Farmakis, D.; Porter, J.; </w:t>
      </w:r>
      <w:proofErr w:type="spellStart"/>
      <w:r w:rsidRPr="00DA6A55">
        <w:rPr>
          <w:rFonts w:ascii="Times New Roman" w:hAnsi="Times New Roman" w:cs="Times New Roman"/>
          <w:color w:val="000000"/>
          <w:sz w:val="20"/>
          <w:szCs w:val="20"/>
        </w:rPr>
        <w:t>Taher</w:t>
      </w:r>
      <w:proofErr w:type="spellEnd"/>
      <w:r w:rsidRPr="00DA6A55">
        <w:rPr>
          <w:rFonts w:ascii="Times New Roman" w:hAnsi="Times New Roman" w:cs="Times New Roman"/>
          <w:color w:val="000000"/>
          <w:sz w:val="20"/>
          <w:szCs w:val="20"/>
        </w:rPr>
        <w:t>, A. (Eds.) Guidelines for the Management of</w:t>
      </w:r>
      <w:r w:rsidRPr="00DA6A55">
        <w:rPr>
          <w:rFonts w:ascii="Times New Roman" w:hAnsi="Times New Roman" w:cs="Times New Roman"/>
          <w:color w:val="000000"/>
          <w:sz w:val="20"/>
          <w:szCs w:val="20"/>
        </w:rPr>
        <w:t xml:space="preserve"> </w:t>
      </w:r>
      <w:r w:rsidRPr="00DA6A55">
        <w:rPr>
          <w:rFonts w:ascii="Times New Roman" w:hAnsi="Times New Roman" w:cs="Times New Roman"/>
          <w:color w:val="000000"/>
          <w:sz w:val="20"/>
          <w:szCs w:val="20"/>
        </w:rPr>
        <w:t xml:space="preserve">Transfusion Dependent </w:t>
      </w:r>
      <w:proofErr w:type="spellStart"/>
      <w:r w:rsidRPr="00DA6A55">
        <w:rPr>
          <w:rFonts w:ascii="Times New Roman" w:hAnsi="Times New Roman" w:cs="Times New Roman"/>
          <w:color w:val="000000"/>
          <w:sz w:val="20"/>
          <w:szCs w:val="20"/>
        </w:rPr>
        <w:t>Thalassaemia</w:t>
      </w:r>
      <w:proofErr w:type="spellEnd"/>
      <w:r w:rsidRPr="00DA6A55">
        <w:rPr>
          <w:rFonts w:ascii="Times New Roman" w:hAnsi="Times New Roman" w:cs="Times New Roman"/>
          <w:color w:val="000000"/>
          <w:sz w:val="20"/>
          <w:szCs w:val="20"/>
        </w:rPr>
        <w:t>, 4</w:t>
      </w:r>
      <w:r w:rsidRPr="00DA6A55">
        <w:rPr>
          <w:rFonts w:ascii="Times New Roman" w:hAnsi="Times New Roman" w:cs="Times New Roman"/>
          <w:color w:val="000000"/>
          <w:sz w:val="20"/>
          <w:szCs w:val="20"/>
          <w:vertAlign w:val="superscript"/>
        </w:rPr>
        <w:t>th</w:t>
      </w:r>
      <w:r w:rsidRPr="00DA6A55">
        <w:rPr>
          <w:rFonts w:ascii="Times New Roman" w:hAnsi="Times New Roman" w:cs="Times New Roman"/>
          <w:color w:val="000000"/>
          <w:sz w:val="20"/>
          <w:szCs w:val="20"/>
        </w:rPr>
        <w:t xml:space="preserve"> ed.; </w:t>
      </w:r>
      <w:proofErr w:type="spellStart"/>
      <w:r w:rsidRPr="00DA6A55">
        <w:rPr>
          <w:rFonts w:ascii="Times New Roman" w:hAnsi="Times New Roman" w:cs="Times New Roman"/>
          <w:color w:val="000000"/>
          <w:sz w:val="20"/>
          <w:szCs w:val="20"/>
        </w:rPr>
        <w:t>Thalassaemia</w:t>
      </w:r>
      <w:proofErr w:type="spellEnd"/>
      <w:r w:rsidRPr="00DA6A55">
        <w:rPr>
          <w:rFonts w:ascii="Times New Roman" w:hAnsi="Times New Roman" w:cs="Times New Roman"/>
          <w:color w:val="000000"/>
          <w:sz w:val="20"/>
          <w:szCs w:val="20"/>
        </w:rPr>
        <w:t xml:space="preserve"> International Federation: Nicosia, Cyprus, 2021.</w:t>
      </w:r>
    </w:p>
    <w:p w:rsidR="005C0C86" w:rsidRPr="00DA6A55" w:rsidRDefault="005C0C86" w:rsidP="00DA6A55">
      <w:pPr>
        <w:autoSpaceDE w:val="0"/>
        <w:autoSpaceDN w:val="0"/>
        <w:adjustRightInd w:val="0"/>
        <w:rPr>
          <w:rFonts w:ascii="Calibri" w:hAnsi="Calibri" w:cs="Calibri"/>
          <w:lang w:val="en-NZ"/>
        </w:rPr>
      </w:pPr>
      <w:proofErr w:type="spellStart"/>
      <w:r w:rsidRPr="00DA6A55">
        <w:rPr>
          <w:rFonts w:ascii="Times New Roman" w:hAnsi="Times New Roman" w:cs="Times New Roman"/>
          <w:b/>
          <w:sz w:val="24"/>
          <w:szCs w:val="24"/>
        </w:rPr>
        <w:t>Biography</w:t>
      </w:r>
      <w:proofErr w:type="spellEnd"/>
    </w:p>
    <w:p w:rsidR="00916288" w:rsidRPr="005C0C86" w:rsidRDefault="00DA6A55" w:rsidP="005C0C86">
      <w:pPr>
        <w:jc w:val="both"/>
        <w:rPr>
          <w:rFonts w:ascii="Times New Roman" w:hAnsi="Times New Roman" w:cs="Times New Roman"/>
          <w:sz w:val="20"/>
          <w:szCs w:val="24"/>
          <w:lang w:val="en-US"/>
        </w:rPr>
      </w:pPr>
      <w:r w:rsidRPr="00DA6A55">
        <w:rPr>
          <w:rFonts w:ascii="Times New Roman" w:hAnsi="Times New Roman" w:cs="Times New Roman"/>
          <w:sz w:val="20"/>
          <w:szCs w:val="24"/>
          <w:lang w:val="en-US"/>
        </w:rPr>
        <w:t xml:space="preserve">Dr </w:t>
      </w:r>
      <w:proofErr w:type="spellStart"/>
      <w:r w:rsidRPr="00DA6A55">
        <w:rPr>
          <w:rFonts w:ascii="Times New Roman" w:hAnsi="Times New Roman" w:cs="Times New Roman"/>
          <w:sz w:val="20"/>
          <w:szCs w:val="24"/>
          <w:lang w:val="en-US"/>
        </w:rPr>
        <w:t>Androulla</w:t>
      </w:r>
      <w:proofErr w:type="spellEnd"/>
      <w:r w:rsidRPr="00DA6A55">
        <w:rPr>
          <w:rFonts w:ascii="Times New Roman" w:hAnsi="Times New Roman" w:cs="Times New Roman"/>
          <w:sz w:val="20"/>
          <w:szCs w:val="24"/>
          <w:lang w:val="en-US"/>
        </w:rPr>
        <w:t xml:space="preserve"> </w:t>
      </w:r>
      <w:proofErr w:type="spellStart"/>
      <w:r w:rsidRPr="00DA6A55">
        <w:rPr>
          <w:rFonts w:ascii="Times New Roman" w:hAnsi="Times New Roman" w:cs="Times New Roman"/>
          <w:sz w:val="20"/>
          <w:szCs w:val="24"/>
          <w:lang w:val="en-US"/>
        </w:rPr>
        <w:t>Eleftheriou</w:t>
      </w:r>
      <w:proofErr w:type="spellEnd"/>
      <w:r w:rsidRPr="00DA6A55">
        <w:rPr>
          <w:rFonts w:ascii="Times New Roman" w:hAnsi="Times New Roman" w:cs="Times New Roman"/>
          <w:sz w:val="20"/>
          <w:szCs w:val="24"/>
          <w:lang w:val="en-US"/>
        </w:rPr>
        <w:t xml:space="preserve"> graduated with degrees in Biochemistry, Microbiology and Virology, and Business Administration from London Universities. She completed her postdoctoral fellowship at the Centre for Disease Control in the USA. She is currently the Executive Director of the </w:t>
      </w:r>
      <w:proofErr w:type="spellStart"/>
      <w:r w:rsidRPr="00DA6A55">
        <w:rPr>
          <w:rFonts w:ascii="Times New Roman" w:hAnsi="Times New Roman" w:cs="Times New Roman"/>
          <w:sz w:val="20"/>
          <w:szCs w:val="24"/>
          <w:lang w:val="en-US"/>
        </w:rPr>
        <w:t>Thalassaemia</w:t>
      </w:r>
      <w:proofErr w:type="spellEnd"/>
      <w:r w:rsidRPr="00DA6A55">
        <w:rPr>
          <w:rFonts w:ascii="Times New Roman" w:hAnsi="Times New Roman" w:cs="Times New Roman"/>
          <w:sz w:val="20"/>
          <w:szCs w:val="24"/>
          <w:lang w:val="en-US"/>
        </w:rPr>
        <w:t xml:space="preserve"> International Federation since 2006. She previously served as the Head of the Virus Reference Centre of the Cyprus Ministry of Health, a Director of the Cyprus WHO Collaborating Centre of the Cyprus Ministry of Health, a Board Member of IAPO, EPHA and ESTM and a President of the Cyprus Alliance of Rare Disorders. She has published extensively in peer reviewed journals and is the aut</w:t>
      </w:r>
      <w:r>
        <w:rPr>
          <w:rFonts w:ascii="Times New Roman" w:hAnsi="Times New Roman" w:cs="Times New Roman"/>
          <w:sz w:val="20"/>
          <w:szCs w:val="24"/>
          <w:lang w:val="en-US"/>
        </w:rPr>
        <w:t>hor of numerous position papers</w:t>
      </w:r>
      <w:r w:rsidR="005C0C86">
        <w:rPr>
          <w:rFonts w:ascii="Times New Roman" w:hAnsi="Times New Roman" w:cs="Times New Roman"/>
          <w:sz w:val="20"/>
          <w:szCs w:val="24"/>
          <w:lang w:val="en-US"/>
        </w:rPr>
        <w:t>.</w:t>
      </w:r>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18C0E42"/>
    <w:multiLevelType w:val="hybridMultilevel"/>
    <w:tmpl w:val="59D48CF4"/>
    <w:lvl w:ilvl="0" w:tplc="4009000F">
      <w:start w:val="1"/>
      <w:numFmt w:val="decimal"/>
      <w:lvlText w:val="%1."/>
      <w:lvlJc w:val="left"/>
      <w:pPr>
        <w:ind w:left="502" w:hanging="360"/>
      </w:pPr>
    </w:lvl>
    <w:lvl w:ilvl="1" w:tplc="40090019" w:tentative="1">
      <w:start w:val="1"/>
      <w:numFmt w:val="lowerLetter"/>
      <w:lvlText w:val="%2."/>
      <w:lvlJc w:val="left"/>
      <w:pPr>
        <w:ind w:left="1222" w:hanging="360"/>
      </w:pPr>
    </w:lvl>
    <w:lvl w:ilvl="2" w:tplc="4009001B" w:tentative="1">
      <w:start w:val="1"/>
      <w:numFmt w:val="lowerRoman"/>
      <w:lvlText w:val="%3."/>
      <w:lvlJc w:val="right"/>
      <w:pPr>
        <w:ind w:left="1942" w:hanging="180"/>
      </w:pPr>
    </w:lvl>
    <w:lvl w:ilvl="3" w:tplc="4009000F" w:tentative="1">
      <w:start w:val="1"/>
      <w:numFmt w:val="decimal"/>
      <w:lvlText w:val="%4."/>
      <w:lvlJc w:val="left"/>
      <w:pPr>
        <w:ind w:left="2662" w:hanging="360"/>
      </w:pPr>
    </w:lvl>
    <w:lvl w:ilvl="4" w:tplc="40090019" w:tentative="1">
      <w:start w:val="1"/>
      <w:numFmt w:val="lowerLetter"/>
      <w:lvlText w:val="%5."/>
      <w:lvlJc w:val="left"/>
      <w:pPr>
        <w:ind w:left="3382" w:hanging="360"/>
      </w:pPr>
    </w:lvl>
    <w:lvl w:ilvl="5" w:tplc="4009001B" w:tentative="1">
      <w:start w:val="1"/>
      <w:numFmt w:val="lowerRoman"/>
      <w:lvlText w:val="%6."/>
      <w:lvlJc w:val="right"/>
      <w:pPr>
        <w:ind w:left="4102" w:hanging="180"/>
      </w:pPr>
    </w:lvl>
    <w:lvl w:ilvl="6" w:tplc="4009000F" w:tentative="1">
      <w:start w:val="1"/>
      <w:numFmt w:val="decimal"/>
      <w:lvlText w:val="%7."/>
      <w:lvlJc w:val="left"/>
      <w:pPr>
        <w:ind w:left="4822" w:hanging="360"/>
      </w:pPr>
    </w:lvl>
    <w:lvl w:ilvl="7" w:tplc="40090019" w:tentative="1">
      <w:start w:val="1"/>
      <w:numFmt w:val="lowerLetter"/>
      <w:lvlText w:val="%8."/>
      <w:lvlJc w:val="left"/>
      <w:pPr>
        <w:ind w:left="5542" w:hanging="360"/>
      </w:pPr>
    </w:lvl>
    <w:lvl w:ilvl="8" w:tplc="4009001B" w:tentative="1">
      <w:start w:val="1"/>
      <w:numFmt w:val="lowerRoman"/>
      <w:lvlText w:val="%9."/>
      <w:lvlJc w:val="right"/>
      <w:pPr>
        <w:ind w:left="6262" w:hanging="180"/>
      </w:pPr>
    </w:lvl>
  </w:abstractNum>
  <w:abstractNum w:abstractNumId="2">
    <w:nsid w:val="6E17429F"/>
    <w:multiLevelType w:val="hybridMultilevel"/>
    <w:tmpl w:val="456A57B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5C0C86"/>
    <w:rsid w:val="006775C2"/>
    <w:rsid w:val="008077D4"/>
    <w:rsid w:val="00DA6A55"/>
    <w:rsid w:val="00E12115"/>
    <w:rsid w:val="00E240F8"/>
    <w:rsid w:val="00E913F5"/>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5</cp:revision>
  <dcterms:created xsi:type="dcterms:W3CDTF">2023-02-25T04:33:00Z</dcterms:created>
  <dcterms:modified xsi:type="dcterms:W3CDTF">2023-02-25T04:35:00Z</dcterms:modified>
</cp:coreProperties>
</file>