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E34936" w14:textId="1147AE26" w:rsidR="002679FB" w:rsidRPr="007F0F4D" w:rsidRDefault="002679FB" w:rsidP="007F0F4D">
      <w:pPr>
        <w:spacing w:line="360" w:lineRule="auto"/>
        <w:jc w:val="center"/>
        <w:rPr>
          <w:rFonts w:ascii="Times New Roman" w:hAnsi="Times New Roman" w:cs="Times New Roman"/>
          <w:bCs/>
          <w:color w:val="00B0F0"/>
          <w:sz w:val="40"/>
          <w:szCs w:val="40"/>
        </w:rPr>
      </w:pPr>
      <w:bookmarkStart w:id="0" w:name="_Hlk128169607"/>
      <w:bookmarkEnd w:id="0"/>
      <w:r w:rsidRPr="007F0F4D">
        <w:rPr>
          <w:rFonts w:ascii="Times New Roman" w:hAnsi="Times New Roman" w:cs="Times New Roman"/>
          <w:bCs/>
          <w:color w:val="00B0F0"/>
          <w:sz w:val="40"/>
          <w:szCs w:val="40"/>
        </w:rPr>
        <w:t>DESIGNING THE ROUTE OF ADMINISTRATION OF COLCHICINE FOR PEDIATRIC PATIENTS BY OPEN SYSTEM PHARMACOLOGY</w:t>
      </w:r>
    </w:p>
    <w:p w14:paraId="7CA6F220" w14:textId="761B14DC" w:rsidR="002679FB" w:rsidRPr="007F0F4D" w:rsidRDefault="007F0F4D" w:rsidP="007F0F4D">
      <w:pPr>
        <w:pStyle w:val="Author"/>
        <w:spacing w:before="0" w:after="0"/>
        <w:rPr>
          <w:rFonts w:eastAsia="MS Mincho"/>
          <w:b/>
          <w:sz w:val="24"/>
          <w:szCs w:val="24"/>
        </w:rPr>
      </w:pPr>
      <w:r w:rsidRPr="007F0F4D">
        <w:rPr>
          <w:rFonts w:eastAsia="MS Mincho"/>
          <w:b/>
          <w:sz w:val="24"/>
          <w:szCs w:val="24"/>
        </w:rPr>
        <w:t xml:space="preserve">Prof. </w:t>
      </w:r>
      <w:r w:rsidR="002679FB" w:rsidRPr="007F0F4D">
        <w:rPr>
          <w:rFonts w:eastAsia="MS Mincho"/>
          <w:b/>
          <w:sz w:val="24"/>
          <w:szCs w:val="24"/>
        </w:rPr>
        <w:t>Abesh Das,</w:t>
      </w:r>
    </w:p>
    <w:p w14:paraId="05F0A998" w14:textId="0202DDCB" w:rsidR="002679FB" w:rsidRPr="007F0F4D" w:rsidRDefault="002679FB" w:rsidP="007F0F4D">
      <w:pPr>
        <w:pStyle w:val="Affiliation"/>
        <w:rPr>
          <w:rFonts w:eastAsia="MS Mincho"/>
          <w:sz w:val="24"/>
          <w:szCs w:val="24"/>
        </w:rPr>
      </w:pPr>
      <w:r w:rsidRPr="007F0F4D">
        <w:rPr>
          <w:rFonts w:eastAsia="MS Mincho"/>
          <w:sz w:val="24"/>
          <w:szCs w:val="24"/>
        </w:rPr>
        <w:t>Department of Pharmaceutics, India</w:t>
      </w:r>
    </w:p>
    <w:p w14:paraId="43037137" w14:textId="77777777" w:rsidR="007F0F4D" w:rsidRDefault="007F0F4D" w:rsidP="000F29EB">
      <w:pPr>
        <w:spacing w:line="360" w:lineRule="auto"/>
        <w:rPr>
          <w:rFonts w:ascii="Times New Roman" w:hAnsi="Times New Roman" w:cs="Times New Roman"/>
          <w:color w:val="ED7D31" w:themeColor="accent2"/>
          <w:sz w:val="28"/>
          <w:szCs w:val="28"/>
          <w:u w:val="single"/>
          <w:lang w:val="en-US"/>
        </w:rPr>
      </w:pPr>
    </w:p>
    <w:p w14:paraId="4AAAE17E" w14:textId="70FAA6F0" w:rsidR="000F29EB" w:rsidRPr="002679FB" w:rsidRDefault="000F29EB" w:rsidP="000F29EB">
      <w:pPr>
        <w:spacing w:line="360" w:lineRule="auto"/>
        <w:rPr>
          <w:rFonts w:ascii="Times New Roman" w:hAnsi="Times New Roman" w:cs="Times New Roman"/>
          <w:color w:val="ED7D31" w:themeColor="accent2"/>
          <w:sz w:val="28"/>
          <w:szCs w:val="28"/>
          <w:u w:val="single"/>
          <w:lang w:val="en-US"/>
        </w:rPr>
      </w:pPr>
      <w:r w:rsidRPr="002679FB">
        <w:rPr>
          <w:rFonts w:ascii="Times New Roman" w:hAnsi="Times New Roman" w:cs="Times New Roman"/>
          <w:color w:val="ED7D31" w:themeColor="accent2"/>
          <w:sz w:val="28"/>
          <w:szCs w:val="28"/>
          <w:u w:val="single"/>
          <w:lang w:val="en-US"/>
        </w:rPr>
        <w:t>Abstract</w:t>
      </w:r>
    </w:p>
    <w:p w14:paraId="071B4E96" w14:textId="75FCF8A0" w:rsidR="002679FB" w:rsidRPr="002679FB" w:rsidRDefault="002679FB" w:rsidP="002679FB">
      <w:pPr>
        <w:spacing w:line="360" w:lineRule="auto"/>
        <w:rPr>
          <w:rFonts w:ascii="Times New Roman" w:hAnsi="Times New Roman" w:cs="Times New Roman"/>
        </w:rPr>
      </w:pPr>
      <w:r w:rsidRPr="002679FB">
        <w:rPr>
          <w:rFonts w:ascii="Times New Roman" w:hAnsi="Times New Roman" w:cs="Times New Roman"/>
        </w:rPr>
        <w:t xml:space="preserve">Colchicine is a plant alkaloid derived from the bulb-like corms of the </w:t>
      </w:r>
      <w:r w:rsidRPr="002679FB">
        <w:rPr>
          <w:rFonts w:ascii="Times New Roman" w:hAnsi="Times New Roman" w:cs="Times New Roman"/>
          <w:i/>
        </w:rPr>
        <w:t>Colchicum autumnale</w:t>
      </w:r>
      <w:r w:rsidRPr="002679FB">
        <w:rPr>
          <w:rFonts w:ascii="Times New Roman" w:hAnsi="Times New Roman" w:cs="Times New Roman"/>
        </w:rPr>
        <w:t xml:space="preserve"> (family:</w:t>
      </w:r>
      <w:r w:rsidRPr="002679FB">
        <w:rPr>
          <w:rFonts w:ascii="Times New Roman" w:hAnsi="Times New Roman" w:cs="Times New Roman"/>
          <w:color w:val="000000"/>
        </w:rPr>
        <w:t xml:space="preserve"> Colchicaceae</w:t>
      </w:r>
      <w:r w:rsidRPr="002679FB">
        <w:rPr>
          <w:rFonts w:ascii="Times New Roman" w:hAnsi="Times New Roman" w:cs="Times New Roman"/>
        </w:rPr>
        <w:t xml:space="preserve">). It is the drug that comes under the classification of an anti-gout agent because it shows anti-inflammatory activity by reducing swelling in the tissue. We see that normally 0.6 mg oral solid dosage forms are used for the treatment </w:t>
      </w:r>
      <w:r w:rsidR="007F0F4D" w:rsidRPr="002679FB">
        <w:rPr>
          <w:rFonts w:ascii="Times New Roman" w:hAnsi="Times New Roman" w:cs="Times New Roman"/>
        </w:rPr>
        <w:t>whereas</w:t>
      </w:r>
      <w:r w:rsidRPr="002679FB">
        <w:rPr>
          <w:rFonts w:ascii="Times New Roman" w:hAnsi="Times New Roman" w:cs="Times New Roman"/>
        </w:rPr>
        <w:t xml:space="preserve"> the half-life of the drug is 26-32 hours approved by FDA. Colchicine is metabolized by CYP3A4 in the liver and de-methylated and formed two major metabolites (2-O-demethylcolchicine and 3-O-demethylcolchicine), and one minor metabolite (10-O-demethylcolchicine). All the pharmacokinetics and pharmacodynamics data are studied and incorporated into the Open System Pharmacology (PK-Sim) Software and we designed an in-silico model of 0.1 mg Colchicine suspension. The characteristics of the suspension are 10 µm diameters, polydisperse in nature and the administration protocol is once daily. It was discovered that AUC- 0.02 µ</w:t>
      </w:r>
      <w:proofErr w:type="spellStart"/>
      <w:r w:rsidRPr="002679FB">
        <w:rPr>
          <w:rFonts w:ascii="Times New Roman" w:hAnsi="Times New Roman" w:cs="Times New Roman"/>
        </w:rPr>
        <w:t>mol×min</w:t>
      </w:r>
      <w:proofErr w:type="spellEnd"/>
      <w:r w:rsidRPr="002679FB">
        <w:rPr>
          <w:rFonts w:ascii="Times New Roman" w:hAnsi="Times New Roman" w:cs="Times New Roman"/>
        </w:rPr>
        <w:t>/l, MRT- 19.25 hr., T</w:t>
      </w:r>
      <w:r w:rsidRPr="002679FB">
        <w:rPr>
          <w:rFonts w:ascii="Times New Roman" w:hAnsi="Times New Roman" w:cs="Times New Roman"/>
          <w:vertAlign w:val="subscript"/>
        </w:rPr>
        <w:t>max</w:t>
      </w:r>
      <w:r w:rsidRPr="002679FB">
        <w:rPr>
          <w:rFonts w:ascii="Times New Roman" w:hAnsi="Times New Roman" w:cs="Times New Roman"/>
        </w:rPr>
        <w:t xml:space="preserve">-1.15 hr., and half-life-17.61 hr. of the formulation. For </w:t>
      </w:r>
      <w:r w:rsidR="007F0F4D" w:rsidRPr="002679FB">
        <w:rPr>
          <w:rFonts w:ascii="Times New Roman" w:hAnsi="Times New Roman" w:cs="Times New Roman"/>
        </w:rPr>
        <w:t>paediatric</w:t>
      </w:r>
      <w:r w:rsidRPr="002679FB">
        <w:rPr>
          <w:rFonts w:ascii="Times New Roman" w:hAnsi="Times New Roman" w:cs="Times New Roman"/>
        </w:rPr>
        <w:t xml:space="preserve"> patients, the oral solid dosage form is difficult to swallow so the suspension is a more convenient dosage form. The drug requirement is less because body surface area and weight are less in the case of </w:t>
      </w:r>
      <w:r w:rsidR="00FC6556" w:rsidRPr="002679FB">
        <w:rPr>
          <w:rFonts w:ascii="Times New Roman" w:hAnsi="Times New Roman" w:cs="Times New Roman"/>
        </w:rPr>
        <w:t>paediatric</w:t>
      </w:r>
      <w:bookmarkStart w:id="1" w:name="_GoBack"/>
      <w:bookmarkEnd w:id="1"/>
      <w:r w:rsidRPr="002679FB">
        <w:rPr>
          <w:rFonts w:ascii="Times New Roman" w:hAnsi="Times New Roman" w:cs="Times New Roman"/>
        </w:rPr>
        <w:t xml:space="preserve"> patients. In-silico study is more convenient because they are less cost-effective, as well as they prevent the wastage of drug.</w:t>
      </w:r>
    </w:p>
    <w:p w14:paraId="149A1694" w14:textId="128F6D2F" w:rsidR="005152ED" w:rsidRDefault="002679FB" w:rsidP="002679FB">
      <w:pPr>
        <w:spacing w:line="360" w:lineRule="auto"/>
        <w:rPr>
          <w:rFonts w:ascii="Times New Roman" w:hAnsi="Times New Roman" w:cs="Times New Roman"/>
        </w:rPr>
      </w:pPr>
      <w:r w:rsidRPr="002679FB">
        <w:rPr>
          <w:rFonts w:ascii="Times New Roman" w:hAnsi="Times New Roman" w:cs="Times New Roman"/>
        </w:rPr>
        <w:br/>
      </w:r>
      <w:r w:rsidRPr="002679FB">
        <w:rPr>
          <w:rFonts w:ascii="Times New Roman" w:hAnsi="Times New Roman" w:cs="Times New Roman"/>
          <w:b/>
          <w:sz w:val="24"/>
          <w:szCs w:val="24"/>
        </w:rPr>
        <w:t>Keywords:</w:t>
      </w:r>
      <w:r w:rsidRPr="002679FB">
        <w:rPr>
          <w:rFonts w:ascii="Times New Roman" w:hAnsi="Times New Roman" w:cs="Times New Roman"/>
          <w:sz w:val="24"/>
          <w:szCs w:val="24"/>
        </w:rPr>
        <w:t xml:space="preserve"> </w:t>
      </w:r>
      <w:r w:rsidRPr="002679FB">
        <w:rPr>
          <w:rFonts w:ascii="Times New Roman" w:hAnsi="Times New Roman" w:cs="Times New Roman"/>
        </w:rPr>
        <w:t>Colchicine, Anti-gout agents, Anti-inflammatory drugs, Pharmacokinetics, Pharmacodynamics, In-silico study, Open System Pharmacology, PK-Sim Software.</w:t>
      </w:r>
    </w:p>
    <w:p w14:paraId="235C4E43" w14:textId="7275055B" w:rsidR="002679FB" w:rsidRDefault="002679FB" w:rsidP="002679FB">
      <w:pPr>
        <w:spacing w:line="360" w:lineRule="auto"/>
        <w:rPr>
          <w:rFonts w:ascii="Times New Roman" w:hAnsi="Times New Roman" w:cs="Times New Roman"/>
        </w:rPr>
      </w:pPr>
      <w:r>
        <w:rPr>
          <w:noProof/>
          <w:lang w:eastAsia="en-IN"/>
        </w:rPr>
        <w:drawing>
          <wp:inline distT="0" distB="0" distL="0" distR="0" wp14:anchorId="20E76981" wp14:editId="5B381D97">
            <wp:extent cx="2011680" cy="1251271"/>
            <wp:effectExtent l="0" t="0" r="7620" b="635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rotWithShape="1">
                    <a:blip r:embed="rId6"/>
                    <a:srcRect l="19720" t="27566" r="39353" b="15410"/>
                    <a:stretch/>
                  </pic:blipFill>
                  <pic:spPr bwMode="auto">
                    <a:xfrm>
                      <a:off x="0" y="0"/>
                      <a:ext cx="2029313" cy="126223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t xml:space="preserve">         </w:t>
      </w:r>
      <w:r>
        <w:rPr>
          <w:noProof/>
          <w:lang w:eastAsia="en-IN"/>
        </w:rPr>
        <w:drawing>
          <wp:inline distT="0" distB="0" distL="0" distR="0" wp14:anchorId="777142B2" wp14:editId="5B2E33E2">
            <wp:extent cx="1935539" cy="1226820"/>
            <wp:effectExtent l="0" t="0" r="7620" b="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rotWithShape="1">
                    <a:blip r:embed="rId7"/>
                    <a:srcRect l="19716" t="27298" r="39059" b="15414"/>
                    <a:stretch/>
                  </pic:blipFill>
                  <pic:spPr bwMode="auto">
                    <a:xfrm>
                      <a:off x="0" y="0"/>
                      <a:ext cx="1957057" cy="1240459"/>
                    </a:xfrm>
                    <a:prstGeom prst="rect">
                      <a:avLst/>
                    </a:prstGeom>
                    <a:ln>
                      <a:noFill/>
                    </a:ln>
                    <a:extLst>
                      <a:ext uri="{53640926-AAD7-44D8-BBD7-CCE9431645EC}">
                        <a14:shadowObscured xmlns:a14="http://schemas.microsoft.com/office/drawing/2010/main"/>
                      </a:ext>
                    </a:extLst>
                  </pic:spPr>
                </pic:pic>
              </a:graphicData>
            </a:graphic>
          </wp:inline>
        </w:drawing>
      </w:r>
    </w:p>
    <w:p w14:paraId="3146E170" w14:textId="0E5B735D" w:rsidR="002679FB" w:rsidRDefault="00243CFE" w:rsidP="002679FB">
      <w:pPr>
        <w:spacing w:line="360" w:lineRule="auto"/>
        <w:rPr>
          <w:rFonts w:ascii="Times New Roman" w:hAnsi="Times New Roman" w:cs="Times New Roman"/>
        </w:rPr>
      </w:pPr>
      <w:r w:rsidRPr="002679FB">
        <w:rPr>
          <w:rFonts w:ascii="Times New Roman" w:hAnsi="Times New Roman" w:cs="Times New Roman"/>
          <w:noProof/>
          <w:lang w:eastAsia="en-IN"/>
        </w:rPr>
        <w:lastRenderedPageBreak/>
        <mc:AlternateContent>
          <mc:Choice Requires="wps">
            <w:drawing>
              <wp:anchor distT="45720" distB="45720" distL="114300" distR="114300" simplePos="0" relativeHeight="251661312" behindDoc="0" locked="0" layoutInCell="1" allowOverlap="1" wp14:anchorId="084B96B2" wp14:editId="5B3EEF09">
                <wp:simplePos x="0" y="0"/>
                <wp:positionH relativeFrom="column">
                  <wp:posOffset>2385060</wp:posOffset>
                </wp:positionH>
                <wp:positionV relativeFrom="paragraph">
                  <wp:posOffset>11430</wp:posOffset>
                </wp:positionV>
                <wp:extent cx="1943100" cy="1404620"/>
                <wp:effectExtent l="0" t="0" r="19050" b="273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solidFill>
                          <a:srgbClr val="FFFFFF"/>
                        </a:solidFill>
                        <a:ln w="9525">
                          <a:solidFill>
                            <a:srgbClr val="000000"/>
                          </a:solidFill>
                          <a:miter lim="800000"/>
                          <a:headEnd/>
                          <a:tailEnd/>
                        </a:ln>
                      </wps:spPr>
                      <wps:txbx>
                        <w:txbxContent>
                          <w:p w14:paraId="19371594" w14:textId="62F592CD" w:rsidR="002679FB" w:rsidRDefault="002679FB">
                            <w:r w:rsidRPr="00814F28">
                              <w:rPr>
                                <w:rFonts w:eastAsia="MS Mincho"/>
                                <w:b/>
                                <w:bCs/>
                              </w:rPr>
                              <w:t>Figure 2: Time profile analysis concentration vs time of drug colchicine in adults.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4B96B2" id="_x0000_t202" coordsize="21600,21600" o:spt="202" path="m,l,21600r21600,l21600,xe">
                <v:stroke joinstyle="miter"/>
                <v:path gradientshapeok="t" o:connecttype="rect"/>
              </v:shapetype>
              <v:shape id="Text Box 2" o:spid="_x0000_s1026" type="#_x0000_t202" style="position:absolute;margin-left:187.8pt;margin-top:.9pt;width:1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">
                <v:textbox style="mso-fit-shape-to-text:t">
                  <w:txbxContent>
                    <w:p w14:paraId="19371594" w14:textId="62F592CD" w:rsidR="002679FB" w:rsidRDefault="002679FB">
                      <w:r w:rsidRPr="00814F28">
                        <w:rPr>
                          <w:rFonts w:eastAsia="MS Mincho"/>
                          <w:b/>
                          <w:bCs/>
                        </w:rPr>
                        <w:t>Figure 2: Time profile analysis concentration vs time of drug colchicine in adults.</w:t>
                      </w:r>
                    </w:p>
                  </w:txbxContent>
                </v:textbox>
                <w10:wrap type="square"/>
              </v:shape>
            </w:pict>
          </mc:Fallback>
        </mc:AlternateContent>
      </w:r>
      <w:r w:rsidRPr="002679FB">
        <w:rPr>
          <w:rFonts w:ascii="Times New Roman" w:hAnsi="Times New Roman" w:cs="Times New Roman"/>
          <w:noProof/>
          <w:lang w:eastAsia="en-IN"/>
        </w:rPr>
        <mc:AlternateContent>
          <mc:Choice Requires="wps">
            <w:drawing>
              <wp:anchor distT="45720" distB="45720" distL="114300" distR="114300" simplePos="0" relativeHeight="251659264" behindDoc="0" locked="0" layoutInCell="1" allowOverlap="1" wp14:anchorId="54546061" wp14:editId="14992899">
                <wp:simplePos x="0" y="0"/>
                <wp:positionH relativeFrom="margin">
                  <wp:align>left</wp:align>
                </wp:positionH>
                <wp:positionV relativeFrom="paragraph">
                  <wp:posOffset>11430</wp:posOffset>
                </wp:positionV>
                <wp:extent cx="2087880" cy="7620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762000"/>
                        </a:xfrm>
                        <a:prstGeom prst="rect">
                          <a:avLst/>
                        </a:prstGeom>
                        <a:solidFill>
                          <a:srgbClr val="FFFFFF"/>
                        </a:solidFill>
                        <a:ln w="9525">
                          <a:solidFill>
                            <a:srgbClr val="000000"/>
                          </a:solidFill>
                          <a:miter lim="800000"/>
                          <a:headEnd/>
                          <a:tailEnd/>
                        </a:ln>
                      </wps:spPr>
                      <wps:txbx>
                        <w:txbxContent>
                          <w:p w14:paraId="7BF95AC2" w14:textId="363D17D7" w:rsidR="002679FB" w:rsidRDefault="002679FB">
                            <w:bookmarkStart w:id="2" w:name="_Hlk100751793"/>
                            <w:r w:rsidRPr="00814F28">
                              <w:rPr>
                                <w:rFonts w:eastAsia="MS Mincho"/>
                                <w:b/>
                                <w:bCs/>
                              </w:rPr>
                              <w:t xml:space="preserve">Figure 1: Time profile analysis concentration vs time of drug colchicine in </w:t>
                            </w:r>
                            <w:proofErr w:type="spellStart"/>
                            <w:r w:rsidR="00564D4F">
                              <w:rPr>
                                <w:rFonts w:eastAsia="MS Mincho"/>
                                <w:b/>
                                <w:bCs/>
                              </w:rPr>
                              <w:t>pediatrics</w:t>
                            </w:r>
                            <w:proofErr w:type="spellEnd"/>
                            <w:r w:rsidRPr="00814F28">
                              <w:rPr>
                                <w:rFonts w:eastAsia="MS Mincho"/>
                                <w:b/>
                                <w:bCs/>
                              </w:rPr>
                              <w:t>.</w:t>
                            </w:r>
                            <w:bookmarkEnd w:id="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546061" id="_x0000_s1027" type="#_x0000_t202" style="position:absolute;margin-left:0;margin-top:.9pt;width:164.4pt;height:60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">
                <v:textbox>
                  <w:txbxContent>
                    <w:p w14:paraId="7BF95AC2" w14:textId="363D17D7" w:rsidR="002679FB" w:rsidRDefault="002679FB">
                      <w:bookmarkStart w:id="2" w:name="_Hlk100751793"/>
                      <w:r w:rsidRPr="00814F28">
                        <w:rPr>
                          <w:rFonts w:eastAsia="MS Mincho"/>
                          <w:b/>
                          <w:bCs/>
                        </w:rPr>
                        <w:t xml:space="preserve">Figure 1: Time profile analysis concentration vs time of drug colchicine in </w:t>
                      </w:r>
                      <w:proofErr w:type="spellStart"/>
                      <w:r w:rsidR="00564D4F">
                        <w:rPr>
                          <w:rFonts w:eastAsia="MS Mincho"/>
                          <w:b/>
                          <w:bCs/>
                        </w:rPr>
                        <w:t>pediatrics</w:t>
                      </w:r>
                      <w:proofErr w:type="spellEnd"/>
                      <w:r w:rsidRPr="00814F28">
                        <w:rPr>
                          <w:rFonts w:eastAsia="MS Mincho"/>
                          <w:b/>
                          <w:bCs/>
                        </w:rPr>
                        <w:t>.</w:t>
                      </w:r>
                      <w:bookmarkEnd w:id="2"/>
                    </w:p>
                  </w:txbxContent>
                </v:textbox>
                <w10:wrap type="square" anchorx="margin"/>
              </v:shape>
            </w:pict>
          </mc:Fallback>
        </mc:AlternateContent>
      </w:r>
    </w:p>
    <w:p w14:paraId="3D05631D" w14:textId="2234C397" w:rsidR="002679FB" w:rsidRDefault="002679FB" w:rsidP="002679FB">
      <w:pPr>
        <w:spacing w:line="360" w:lineRule="auto"/>
        <w:rPr>
          <w:rFonts w:ascii="Times New Roman" w:hAnsi="Times New Roman" w:cs="Times New Roman"/>
        </w:rPr>
      </w:pPr>
    </w:p>
    <w:p w14:paraId="3EAD92D3" w14:textId="7D945DAC" w:rsidR="002679FB" w:rsidRDefault="002679FB" w:rsidP="002679FB">
      <w:pPr>
        <w:spacing w:line="360" w:lineRule="auto"/>
        <w:rPr>
          <w:rFonts w:ascii="Times New Roman" w:hAnsi="Times New Roman" w:cs="Times New Roman"/>
        </w:rPr>
      </w:pPr>
    </w:p>
    <w:p w14:paraId="1EFB791D" w14:textId="37809139" w:rsidR="002679FB" w:rsidRDefault="002679FB" w:rsidP="00243CFE">
      <w:pPr>
        <w:spacing w:line="360" w:lineRule="auto"/>
        <w:rPr>
          <w:rFonts w:ascii="Times New Roman" w:hAnsi="Times New Roman" w:cs="Times New Roman"/>
        </w:rPr>
      </w:pPr>
      <w:r>
        <w:rPr>
          <w:noProof/>
          <w:lang w:eastAsia="en-IN"/>
        </w:rPr>
        <w:drawing>
          <wp:inline distT="0" distB="0" distL="0" distR="0" wp14:anchorId="4C3FEC06" wp14:editId="70E9F327">
            <wp:extent cx="2278380" cy="1417829"/>
            <wp:effectExtent l="0" t="0" r="7620" b="0"/>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rotWithShape="1">
                    <a:blip r:embed="rId8"/>
                    <a:srcRect l="19565" t="24229" r="41762" b="16002"/>
                    <a:stretch/>
                  </pic:blipFill>
                  <pic:spPr bwMode="auto">
                    <a:xfrm>
                      <a:off x="0" y="0"/>
                      <a:ext cx="2296789" cy="1429285"/>
                    </a:xfrm>
                    <a:prstGeom prst="rect">
                      <a:avLst/>
                    </a:prstGeom>
                    <a:ln>
                      <a:noFill/>
                    </a:ln>
                    <a:extLst>
                      <a:ext uri="{53640926-AAD7-44D8-BBD7-CCE9431645EC}">
                        <a14:shadowObscured xmlns:a14="http://schemas.microsoft.com/office/drawing/2010/main"/>
                      </a:ext>
                    </a:extLst>
                  </pic:spPr>
                </pic:pic>
              </a:graphicData>
            </a:graphic>
          </wp:inline>
        </w:drawing>
      </w:r>
    </w:p>
    <w:p w14:paraId="5A4FFCDD" w14:textId="7201EA29" w:rsidR="002679FB" w:rsidRDefault="002679FB" w:rsidP="002679FB">
      <w:pPr>
        <w:spacing w:line="360" w:lineRule="auto"/>
        <w:jc w:val="center"/>
        <w:rPr>
          <w:rFonts w:eastAsia="MS Mincho"/>
          <w:b/>
          <w:bCs/>
        </w:rPr>
      </w:pPr>
      <w:r w:rsidRPr="00814F28">
        <w:rPr>
          <w:rFonts w:eastAsia="MS Mincho"/>
          <w:b/>
          <w:bCs/>
        </w:rPr>
        <w:t xml:space="preserve">Figure 3: Time profile analysis concentration vs time of drug colchicine in </w:t>
      </w:r>
      <w:proofErr w:type="spellStart"/>
      <w:r w:rsidRPr="00814F28">
        <w:rPr>
          <w:rFonts w:eastAsia="MS Mincho"/>
          <w:b/>
          <w:bCs/>
        </w:rPr>
        <w:t>pediatric</w:t>
      </w:r>
      <w:proofErr w:type="spellEnd"/>
      <w:r w:rsidRPr="00814F28">
        <w:rPr>
          <w:rFonts w:eastAsia="MS Mincho"/>
          <w:b/>
          <w:bCs/>
        </w:rPr>
        <w:t xml:space="preserve"> </w:t>
      </w:r>
      <w:proofErr w:type="spellStart"/>
      <w:r w:rsidRPr="00814F28">
        <w:rPr>
          <w:rFonts w:eastAsia="MS Mincho"/>
          <w:b/>
          <w:bCs/>
        </w:rPr>
        <w:t>vs</w:t>
      </w:r>
      <w:proofErr w:type="spellEnd"/>
      <w:r w:rsidRPr="00814F28">
        <w:rPr>
          <w:rFonts w:eastAsia="MS Mincho"/>
          <w:b/>
          <w:bCs/>
        </w:rPr>
        <w:t xml:space="preserve"> adults.</w:t>
      </w:r>
    </w:p>
    <w:p w14:paraId="03A9205D" w14:textId="5A220179" w:rsidR="00243CFE" w:rsidRPr="00243CFE" w:rsidRDefault="002679FB" w:rsidP="00243CFE">
      <w:pPr>
        <w:spacing w:line="360" w:lineRule="auto"/>
        <w:rPr>
          <w:rFonts w:ascii="Times New Roman" w:eastAsia="MS Mincho" w:hAnsi="Times New Roman" w:cs="Times New Roman"/>
          <w:b/>
          <w:bCs/>
          <w:color w:val="ED7D31" w:themeColor="accent2"/>
          <w:sz w:val="24"/>
          <w:szCs w:val="24"/>
        </w:rPr>
      </w:pPr>
      <w:r w:rsidRPr="002679FB">
        <w:rPr>
          <w:rFonts w:ascii="Times New Roman" w:eastAsia="MS Mincho" w:hAnsi="Times New Roman" w:cs="Times New Roman"/>
          <w:b/>
          <w:bCs/>
          <w:color w:val="ED7D31" w:themeColor="accent2"/>
          <w:sz w:val="24"/>
          <w:szCs w:val="24"/>
        </w:rPr>
        <w:t>Recent Publications</w:t>
      </w:r>
    </w:p>
    <w:p w14:paraId="0A4B3E65" w14:textId="29B095CB" w:rsidR="00243CFE" w:rsidRDefault="00243CFE" w:rsidP="00243CFE">
      <w:pPr>
        <w:pStyle w:val="Default"/>
        <w:numPr>
          <w:ilvl w:val="0"/>
          <w:numId w:val="3"/>
        </w:numPr>
        <w:rPr>
          <w:sz w:val="20"/>
          <w:szCs w:val="20"/>
        </w:rPr>
      </w:pPr>
      <w:r>
        <w:rPr>
          <w:sz w:val="20"/>
          <w:szCs w:val="20"/>
        </w:rPr>
        <w:t>Publication of research paper ‘</w:t>
      </w:r>
      <w:r>
        <w:rPr>
          <w:b/>
          <w:bCs/>
          <w:sz w:val="20"/>
          <w:szCs w:val="20"/>
        </w:rPr>
        <w:t xml:space="preserve">Evaluation of Anthelmintic and Antimicrobial of the extract of the </w:t>
      </w:r>
    </w:p>
    <w:p w14:paraId="03A55B6C" w14:textId="1487E558" w:rsidR="00243CFE" w:rsidRDefault="00243CFE" w:rsidP="00243CFE">
      <w:pPr>
        <w:pStyle w:val="Default"/>
        <w:numPr>
          <w:ilvl w:val="0"/>
          <w:numId w:val="3"/>
        </w:numPr>
        <w:rPr>
          <w:sz w:val="20"/>
          <w:szCs w:val="20"/>
        </w:rPr>
      </w:pPr>
      <w:r>
        <w:rPr>
          <w:b/>
          <w:bCs/>
          <w:sz w:val="20"/>
          <w:szCs w:val="20"/>
        </w:rPr>
        <w:t xml:space="preserve">root of the plant </w:t>
      </w:r>
      <w:proofErr w:type="spellStart"/>
      <w:r>
        <w:rPr>
          <w:b/>
          <w:bCs/>
          <w:sz w:val="20"/>
          <w:szCs w:val="20"/>
        </w:rPr>
        <w:t>Jasminum</w:t>
      </w:r>
      <w:proofErr w:type="spellEnd"/>
      <w:r>
        <w:rPr>
          <w:b/>
          <w:bCs/>
          <w:sz w:val="20"/>
          <w:szCs w:val="20"/>
        </w:rPr>
        <w:t xml:space="preserve"> </w:t>
      </w:r>
      <w:proofErr w:type="spellStart"/>
      <w:r>
        <w:rPr>
          <w:b/>
          <w:bCs/>
          <w:sz w:val="20"/>
          <w:szCs w:val="20"/>
        </w:rPr>
        <w:t>multiflorum</w:t>
      </w:r>
      <w:proofErr w:type="spellEnd"/>
      <w:r>
        <w:rPr>
          <w:sz w:val="20"/>
          <w:szCs w:val="20"/>
        </w:rPr>
        <w:t xml:space="preserve">’ doi.org/10.22270/jddt.v10i4.4219 . </w:t>
      </w:r>
    </w:p>
    <w:p w14:paraId="3C762993" w14:textId="77777777" w:rsidR="00243CFE" w:rsidRDefault="00243CFE" w:rsidP="00243CFE">
      <w:pPr>
        <w:pStyle w:val="Default"/>
        <w:rPr>
          <w:sz w:val="20"/>
          <w:szCs w:val="20"/>
        </w:rPr>
      </w:pPr>
    </w:p>
    <w:p w14:paraId="79B0F095" w14:textId="6C9A26B7" w:rsidR="00243CFE" w:rsidRDefault="00243CFE" w:rsidP="00243CFE">
      <w:pPr>
        <w:pStyle w:val="Default"/>
        <w:numPr>
          <w:ilvl w:val="0"/>
          <w:numId w:val="3"/>
        </w:numPr>
        <w:rPr>
          <w:sz w:val="20"/>
          <w:szCs w:val="20"/>
        </w:rPr>
      </w:pPr>
      <w:r>
        <w:rPr>
          <w:sz w:val="20"/>
          <w:szCs w:val="20"/>
        </w:rPr>
        <w:t xml:space="preserve">2. Publication of </w:t>
      </w:r>
      <w:r>
        <w:rPr>
          <w:b/>
          <w:bCs/>
          <w:sz w:val="20"/>
          <w:szCs w:val="20"/>
        </w:rPr>
        <w:t xml:space="preserve">Physiologically Based Pharmacokinetic </w:t>
      </w:r>
      <w:proofErr w:type="spellStart"/>
      <w:r>
        <w:rPr>
          <w:b/>
          <w:bCs/>
          <w:sz w:val="20"/>
          <w:szCs w:val="20"/>
        </w:rPr>
        <w:t>Modeling</w:t>
      </w:r>
      <w:proofErr w:type="spellEnd"/>
      <w:r>
        <w:rPr>
          <w:b/>
          <w:bCs/>
          <w:sz w:val="20"/>
          <w:szCs w:val="20"/>
        </w:rPr>
        <w:t xml:space="preserve"> of Paclitaxel and Prediction of Pharmacokinetic parameters after its Targeted Delivery to Brain, Liver, and Lungs</w:t>
      </w:r>
      <w:r>
        <w:rPr>
          <w:sz w:val="20"/>
          <w:szCs w:val="20"/>
        </w:rPr>
        <w:t xml:space="preserve">. </w:t>
      </w:r>
    </w:p>
    <w:p w14:paraId="140A86BB" w14:textId="77777777" w:rsidR="00243CFE" w:rsidRDefault="00243CFE" w:rsidP="00243CFE">
      <w:pPr>
        <w:pStyle w:val="Default"/>
        <w:numPr>
          <w:ilvl w:val="0"/>
          <w:numId w:val="3"/>
        </w:numPr>
        <w:rPr>
          <w:sz w:val="20"/>
          <w:szCs w:val="20"/>
        </w:rPr>
      </w:pPr>
      <w:r>
        <w:rPr>
          <w:b/>
          <w:bCs/>
          <w:sz w:val="20"/>
          <w:szCs w:val="20"/>
        </w:rPr>
        <w:t xml:space="preserve">3. </w:t>
      </w:r>
      <w:r>
        <w:rPr>
          <w:sz w:val="20"/>
          <w:szCs w:val="20"/>
        </w:rPr>
        <w:t xml:space="preserve">Publication of </w:t>
      </w:r>
      <w:r>
        <w:rPr>
          <w:b/>
          <w:bCs/>
          <w:sz w:val="20"/>
          <w:szCs w:val="20"/>
        </w:rPr>
        <w:t xml:space="preserve">Designing the Route of Administration of Colchicine for </w:t>
      </w:r>
      <w:proofErr w:type="spellStart"/>
      <w:r>
        <w:rPr>
          <w:b/>
          <w:bCs/>
          <w:sz w:val="20"/>
          <w:szCs w:val="20"/>
        </w:rPr>
        <w:t>Pediatric</w:t>
      </w:r>
      <w:proofErr w:type="spellEnd"/>
      <w:r>
        <w:rPr>
          <w:b/>
          <w:bCs/>
          <w:sz w:val="20"/>
          <w:szCs w:val="20"/>
        </w:rPr>
        <w:t xml:space="preserve"> Patients by Open System Pharmacology. </w:t>
      </w:r>
    </w:p>
    <w:p w14:paraId="72DF7E7C" w14:textId="77777777" w:rsidR="00243CFE" w:rsidRDefault="00243CFE" w:rsidP="00243CFE">
      <w:pPr>
        <w:pStyle w:val="Default"/>
        <w:rPr>
          <w:sz w:val="20"/>
          <w:szCs w:val="20"/>
        </w:rPr>
      </w:pPr>
    </w:p>
    <w:p w14:paraId="030450FD" w14:textId="77777777" w:rsidR="00243CFE" w:rsidRDefault="00243CFE" w:rsidP="00243CFE">
      <w:pPr>
        <w:pStyle w:val="Default"/>
        <w:numPr>
          <w:ilvl w:val="0"/>
          <w:numId w:val="3"/>
        </w:numPr>
        <w:rPr>
          <w:sz w:val="20"/>
          <w:szCs w:val="20"/>
        </w:rPr>
      </w:pPr>
      <w:r>
        <w:rPr>
          <w:b/>
          <w:bCs/>
          <w:sz w:val="20"/>
          <w:szCs w:val="20"/>
        </w:rPr>
        <w:t xml:space="preserve">4. </w:t>
      </w:r>
      <w:r>
        <w:rPr>
          <w:sz w:val="20"/>
          <w:szCs w:val="20"/>
        </w:rPr>
        <w:t xml:space="preserve">Publication of </w:t>
      </w:r>
      <w:r>
        <w:rPr>
          <w:b/>
          <w:bCs/>
          <w:sz w:val="20"/>
          <w:szCs w:val="20"/>
        </w:rPr>
        <w:t xml:space="preserve">Physiologically-based Pharmacokinetic profiling of Ciprofloxacin after administration through Intravenous and Pulmonary routes. </w:t>
      </w:r>
    </w:p>
    <w:p w14:paraId="57A3A9CA" w14:textId="77777777" w:rsidR="00243CFE" w:rsidRDefault="00243CFE" w:rsidP="00243CFE">
      <w:pPr>
        <w:pStyle w:val="Default"/>
        <w:numPr>
          <w:ilvl w:val="0"/>
          <w:numId w:val="3"/>
        </w:numPr>
        <w:rPr>
          <w:sz w:val="20"/>
          <w:szCs w:val="20"/>
        </w:rPr>
      </w:pPr>
      <w:r>
        <w:rPr>
          <w:b/>
          <w:bCs/>
          <w:sz w:val="20"/>
          <w:szCs w:val="20"/>
        </w:rPr>
        <w:t xml:space="preserve">5. </w:t>
      </w:r>
      <w:r>
        <w:rPr>
          <w:sz w:val="20"/>
          <w:szCs w:val="20"/>
        </w:rPr>
        <w:t xml:space="preserve">Participated in a Webinar on </w:t>
      </w:r>
      <w:r>
        <w:rPr>
          <w:b/>
          <w:bCs/>
          <w:sz w:val="20"/>
          <w:szCs w:val="20"/>
        </w:rPr>
        <w:t xml:space="preserve">“X-Ray Crystallography: An Interdisciplinary Science” </w:t>
      </w:r>
    </w:p>
    <w:p w14:paraId="35FD7708" w14:textId="77777777" w:rsidR="00243CFE" w:rsidRDefault="00243CFE" w:rsidP="002679FB">
      <w:pPr>
        <w:spacing w:line="360" w:lineRule="auto"/>
        <w:rPr>
          <w:rFonts w:ascii="Times New Roman" w:hAnsi="Times New Roman" w:cs="Times New Roman"/>
          <w:color w:val="ED7D31" w:themeColor="accent2"/>
          <w:sz w:val="24"/>
          <w:szCs w:val="24"/>
        </w:rPr>
      </w:pPr>
    </w:p>
    <w:p w14:paraId="5461E21E" w14:textId="381EC1D7" w:rsidR="00243CFE" w:rsidRDefault="00243CFE" w:rsidP="002679FB">
      <w:pPr>
        <w:spacing w:line="360" w:lineRule="auto"/>
        <w:rPr>
          <w:rFonts w:ascii="Times New Roman" w:hAnsi="Times New Roman" w:cs="Times New Roman"/>
          <w:color w:val="ED7D31" w:themeColor="accent2"/>
          <w:sz w:val="24"/>
          <w:szCs w:val="24"/>
        </w:rPr>
      </w:pPr>
      <w:r>
        <w:rPr>
          <w:rFonts w:ascii="Times New Roman" w:hAnsi="Times New Roman" w:cs="Times New Roman"/>
          <w:noProof/>
          <w:color w:val="ED7D31" w:themeColor="accent2"/>
          <w:sz w:val="24"/>
          <w:szCs w:val="24"/>
          <w:lang w:eastAsia="en-IN"/>
        </w:rPr>
        <mc:AlternateContent>
          <mc:Choice Requires="wps">
            <w:drawing>
              <wp:anchor distT="0" distB="0" distL="114300" distR="114300" simplePos="0" relativeHeight="251662336" behindDoc="0" locked="0" layoutInCell="1" allowOverlap="1" wp14:anchorId="1CDCDB77" wp14:editId="49DB3863">
                <wp:simplePos x="0" y="0"/>
                <wp:positionH relativeFrom="margin">
                  <wp:align>center</wp:align>
                </wp:positionH>
                <wp:positionV relativeFrom="paragraph">
                  <wp:posOffset>4445</wp:posOffset>
                </wp:positionV>
                <wp:extent cx="4777740" cy="7620"/>
                <wp:effectExtent l="0" t="0" r="22860" b="30480"/>
                <wp:wrapNone/>
                <wp:docPr id="5" name="Straight Connector 5"/>
                <wp:cNvGraphicFramePr/>
                <a:graphic xmlns:a="http://schemas.openxmlformats.org/drawingml/2006/main">
                  <a:graphicData uri="http://schemas.microsoft.com/office/word/2010/wordprocessingShape">
                    <wps:wsp>
                      <wps:cNvCnPr/>
                      <wps:spPr>
                        <a:xfrm>
                          <a:off x="0" y="0"/>
                          <a:ext cx="47777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7A53A3" id="Straight Connector 5"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35pt" to="376.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" strokecolor="#4472c4 [3204]" strokeweight=".5pt">
                <v:stroke joinstyle="miter"/>
                <w10:wrap anchorx="margin"/>
              </v:line>
            </w:pict>
          </mc:Fallback>
        </mc:AlternateContent>
      </w:r>
      <w:r w:rsidR="00564D4F">
        <w:rPr>
          <w:rFonts w:ascii="Times New Roman" w:hAnsi="Times New Roman" w:cs="Times New Roman"/>
          <w:color w:val="ED7D31" w:themeColor="accent2"/>
          <w:sz w:val="24"/>
          <w:szCs w:val="24"/>
        </w:rPr>
        <w:t xml:space="preserve">                                                                                                        </w:t>
      </w:r>
    </w:p>
    <w:p w14:paraId="538997B3" w14:textId="1EE28EBC" w:rsidR="00564D4F" w:rsidRDefault="00243CFE" w:rsidP="00243CFE">
      <w:pPr>
        <w:spacing w:line="360" w:lineRule="auto"/>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 xml:space="preserve"> </w:t>
      </w:r>
      <w:r>
        <w:rPr>
          <w:rFonts w:ascii="Times New Roman" w:hAnsi="Times New Roman" w:cs="Times New Roman"/>
          <w:noProof/>
          <w:color w:val="ED7D31" w:themeColor="accent2"/>
          <w:sz w:val="24"/>
          <w:szCs w:val="24"/>
          <w:lang w:eastAsia="en-IN"/>
        </w:rPr>
        <w:drawing>
          <wp:inline distT="0" distB="0" distL="0" distR="0" wp14:anchorId="36E54474" wp14:editId="147FEAE3">
            <wp:extent cx="769620" cy="1026188"/>
            <wp:effectExtent l="0" t="0" r="0" b="2540"/>
            <wp:docPr id="6" name="Picture 6"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earing glass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4575" cy="1032794"/>
                    </a:xfrm>
                    <a:prstGeom prst="rect">
                      <a:avLst/>
                    </a:prstGeom>
                  </pic:spPr>
                </pic:pic>
              </a:graphicData>
            </a:graphic>
          </wp:inline>
        </w:drawing>
      </w:r>
      <w:r>
        <w:rPr>
          <w:rFonts w:ascii="Times New Roman" w:hAnsi="Times New Roman" w:cs="Times New Roman"/>
          <w:color w:val="ED7D31" w:themeColor="accent2"/>
          <w:sz w:val="24"/>
          <w:szCs w:val="24"/>
        </w:rPr>
        <w:t xml:space="preserve">  </w:t>
      </w:r>
      <w:r w:rsidR="00564D4F">
        <w:rPr>
          <w:rFonts w:ascii="Times New Roman" w:hAnsi="Times New Roman" w:cs="Times New Roman"/>
          <w:color w:val="ED7D31" w:themeColor="accent2"/>
          <w:sz w:val="24"/>
          <w:szCs w:val="24"/>
        </w:rPr>
        <w:t xml:space="preserve">            </w:t>
      </w:r>
      <w:r w:rsidR="00564D4F">
        <w:rPr>
          <w:rFonts w:ascii="Times New Roman" w:hAnsi="Times New Roman" w:cs="Times New Roman"/>
          <w:noProof/>
          <w:color w:val="ED7D31" w:themeColor="accent2"/>
          <w:sz w:val="24"/>
          <w:szCs w:val="24"/>
          <w:lang w:eastAsia="en-IN"/>
        </w:rPr>
        <w:drawing>
          <wp:inline distT="0" distB="0" distL="0" distR="0" wp14:anchorId="748A8F8C" wp14:editId="02B1D21E">
            <wp:extent cx="1294886" cy="916305"/>
            <wp:effectExtent l="0" t="0" r="635" b="0"/>
            <wp:docPr id="7" name="Picture 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l="8192" t="13359" r="9322" b="12977"/>
                    <a:stretch/>
                  </pic:blipFill>
                  <pic:spPr bwMode="auto">
                    <a:xfrm>
                      <a:off x="0" y="0"/>
                      <a:ext cx="1301515" cy="920996"/>
                    </a:xfrm>
                    <a:prstGeom prst="rect">
                      <a:avLst/>
                    </a:prstGeom>
                    <a:ln>
                      <a:noFill/>
                    </a:ln>
                    <a:extLst>
                      <a:ext uri="{53640926-AAD7-44D8-BBD7-CCE9431645EC}">
                        <a14:shadowObscured xmlns:a14="http://schemas.microsoft.com/office/drawing/2010/main"/>
                      </a:ext>
                    </a:extLst>
                  </pic:spPr>
                </pic:pic>
              </a:graphicData>
            </a:graphic>
          </wp:inline>
        </w:drawing>
      </w:r>
    </w:p>
    <w:p w14:paraId="2A22E154" w14:textId="0E63A14C" w:rsidR="00243CFE" w:rsidRDefault="00564D4F" w:rsidP="00243CFE">
      <w:pPr>
        <w:spacing w:line="360" w:lineRule="auto"/>
        <w:rPr>
          <w:rFonts w:ascii="Times New Roman" w:hAnsi="Times New Roman" w:cs="Times New Roman"/>
          <w:color w:val="ED7D31" w:themeColor="accent2"/>
          <w:sz w:val="24"/>
          <w:szCs w:val="24"/>
        </w:rPr>
      </w:pPr>
      <w:r>
        <w:rPr>
          <w:rFonts w:ascii="Times New Roman" w:hAnsi="Times New Roman" w:cs="Times New Roman"/>
          <w:color w:val="ED7D31" w:themeColor="accent2"/>
          <w:sz w:val="24"/>
          <w:szCs w:val="24"/>
        </w:rPr>
        <w:t xml:space="preserve">My Abesh Das and so far I have completed my Batchelor’s Degree from MAKAUT and after </w:t>
      </w:r>
      <w:proofErr w:type="gramStart"/>
      <w:r>
        <w:rPr>
          <w:rFonts w:ascii="Times New Roman" w:hAnsi="Times New Roman" w:cs="Times New Roman"/>
          <w:color w:val="ED7D31" w:themeColor="accent2"/>
          <w:sz w:val="24"/>
          <w:szCs w:val="24"/>
        </w:rPr>
        <w:t>that,</w:t>
      </w:r>
      <w:proofErr w:type="gramEnd"/>
      <w:r>
        <w:rPr>
          <w:rFonts w:ascii="Times New Roman" w:hAnsi="Times New Roman" w:cs="Times New Roman"/>
          <w:color w:val="ED7D31" w:themeColor="accent2"/>
          <w:sz w:val="24"/>
          <w:szCs w:val="24"/>
        </w:rPr>
        <w:t xml:space="preserve"> I have completed my </w:t>
      </w:r>
      <w:proofErr w:type="spellStart"/>
      <w:r>
        <w:rPr>
          <w:rFonts w:ascii="Times New Roman" w:hAnsi="Times New Roman" w:cs="Times New Roman"/>
          <w:color w:val="ED7D31" w:themeColor="accent2"/>
          <w:sz w:val="24"/>
          <w:szCs w:val="24"/>
        </w:rPr>
        <w:t>Masters’s</w:t>
      </w:r>
      <w:proofErr w:type="spellEnd"/>
      <w:r>
        <w:rPr>
          <w:rFonts w:ascii="Times New Roman" w:hAnsi="Times New Roman" w:cs="Times New Roman"/>
          <w:color w:val="ED7D31" w:themeColor="accent2"/>
          <w:sz w:val="24"/>
          <w:szCs w:val="24"/>
        </w:rPr>
        <w:t xml:space="preserve"> from the renowned university that is Guru Nanak Institute of Pharmaceutical Science and Technology. So far I have worked with various </w:t>
      </w:r>
      <w:proofErr w:type="gramStart"/>
      <w:r>
        <w:rPr>
          <w:rFonts w:ascii="Times New Roman" w:hAnsi="Times New Roman" w:cs="Times New Roman"/>
          <w:color w:val="ED7D31" w:themeColor="accent2"/>
          <w:sz w:val="24"/>
          <w:szCs w:val="24"/>
        </w:rPr>
        <w:t>paper</w:t>
      </w:r>
      <w:proofErr w:type="gramEnd"/>
      <w:r>
        <w:rPr>
          <w:rFonts w:ascii="Times New Roman" w:hAnsi="Times New Roman" w:cs="Times New Roman"/>
          <w:color w:val="ED7D31" w:themeColor="accent2"/>
          <w:sz w:val="24"/>
          <w:szCs w:val="24"/>
        </w:rPr>
        <w:t xml:space="preserve">.                                                                  </w:t>
      </w:r>
      <w:r w:rsidR="00243CFE">
        <w:rPr>
          <w:rFonts w:ascii="Times New Roman" w:hAnsi="Times New Roman" w:cs="Times New Roman"/>
          <w:color w:val="ED7D31" w:themeColor="accent2"/>
          <w:sz w:val="24"/>
          <w:szCs w:val="24"/>
        </w:rPr>
        <w:t xml:space="preserve">   </w:t>
      </w:r>
    </w:p>
    <w:p w14:paraId="576B9DE0" w14:textId="66EDC227" w:rsidR="002679FB" w:rsidRDefault="00564D4F" w:rsidP="00564D4F">
      <w:pPr>
        <w:spacing w:line="360" w:lineRule="auto"/>
        <w:jc w:val="center"/>
        <w:rPr>
          <w:rFonts w:ascii="Times New Roman" w:hAnsi="Times New Roman" w:cs="Times New Roman"/>
          <w:i/>
          <w:iCs/>
          <w:color w:val="ED7D31" w:themeColor="accent2"/>
          <w:sz w:val="24"/>
          <w:szCs w:val="24"/>
        </w:rPr>
      </w:pPr>
      <w:r w:rsidRPr="00564D4F">
        <w:rPr>
          <w:rFonts w:ascii="Times New Roman" w:hAnsi="Times New Roman" w:cs="Times New Roman"/>
          <w:i/>
          <w:iCs/>
          <w:color w:val="ED7D31" w:themeColor="accent2"/>
          <w:sz w:val="24"/>
          <w:szCs w:val="24"/>
        </w:rPr>
        <w:t xml:space="preserve">Email: </w:t>
      </w:r>
      <w:hyperlink r:id="rId11" w:history="1">
        <w:r w:rsidRPr="00A816F7">
          <w:rPr>
            <w:rStyle w:val="Hyperlink"/>
            <w:rFonts w:ascii="Times New Roman" w:hAnsi="Times New Roman" w:cs="Times New Roman"/>
            <w:i/>
            <w:iCs/>
            <w:sz w:val="24"/>
            <w:szCs w:val="24"/>
          </w:rPr>
          <w:t>abesh666@gmail.com</w:t>
        </w:r>
      </w:hyperlink>
    </w:p>
    <w:p w14:paraId="0EE9D8F3" w14:textId="4D2D79A3" w:rsidR="00564D4F" w:rsidRDefault="00564D4F" w:rsidP="00564D4F">
      <w:pPr>
        <w:spacing w:line="360" w:lineRule="auto"/>
        <w:rPr>
          <w:rFonts w:ascii="Times New Roman" w:hAnsi="Times New Roman" w:cs="Times New Roman"/>
          <w:i/>
          <w:iCs/>
          <w:color w:val="ED7D31" w:themeColor="accent2"/>
          <w:sz w:val="24"/>
          <w:szCs w:val="24"/>
        </w:rPr>
      </w:pPr>
      <w:r>
        <w:rPr>
          <w:rFonts w:ascii="Times New Roman" w:hAnsi="Times New Roman" w:cs="Times New Roman"/>
          <w:noProof/>
          <w:color w:val="ED7D31" w:themeColor="accent2"/>
          <w:sz w:val="24"/>
          <w:szCs w:val="24"/>
          <w:lang w:eastAsia="en-IN"/>
        </w:rPr>
        <w:lastRenderedPageBreak/>
        <mc:AlternateContent>
          <mc:Choice Requires="wps">
            <w:drawing>
              <wp:anchor distT="0" distB="0" distL="114300" distR="114300" simplePos="0" relativeHeight="251664384" behindDoc="0" locked="0" layoutInCell="1" allowOverlap="1" wp14:anchorId="29A404F4" wp14:editId="31139ECB">
                <wp:simplePos x="0" y="0"/>
                <wp:positionH relativeFrom="margin">
                  <wp:align>center</wp:align>
                </wp:positionH>
                <wp:positionV relativeFrom="paragraph">
                  <wp:posOffset>288925</wp:posOffset>
                </wp:positionV>
                <wp:extent cx="4777740" cy="7620"/>
                <wp:effectExtent l="0" t="0" r="22860" b="30480"/>
                <wp:wrapNone/>
                <wp:docPr id="8" name="Straight Connector 8"/>
                <wp:cNvGraphicFramePr/>
                <a:graphic xmlns:a="http://schemas.openxmlformats.org/drawingml/2006/main">
                  <a:graphicData uri="http://schemas.microsoft.com/office/word/2010/wordprocessingShape">
                    <wps:wsp>
                      <wps:cNvCnPr/>
                      <wps:spPr>
                        <a:xfrm>
                          <a:off x="0" y="0"/>
                          <a:ext cx="47777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8D3BDB" id="Straight Connector 8"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22.75pt" to="376.2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" strokecolor="#4472c4 [3204]" strokeweight=".5pt">
                <v:stroke joinstyle="miter"/>
                <w10:wrap anchorx="margin"/>
              </v:line>
            </w:pict>
          </mc:Fallback>
        </mc:AlternateContent>
      </w:r>
    </w:p>
    <w:p w14:paraId="64A04857" w14:textId="5D87DFEF" w:rsidR="00564D4F" w:rsidRPr="00564D4F" w:rsidRDefault="00564D4F" w:rsidP="00564D4F">
      <w:pPr>
        <w:tabs>
          <w:tab w:val="left" w:pos="8316"/>
        </w:tabs>
        <w:rPr>
          <w:rFonts w:ascii="Times New Roman" w:hAnsi="Times New Roman" w:cs="Times New Roman"/>
          <w:sz w:val="24"/>
          <w:szCs w:val="24"/>
        </w:rPr>
      </w:pPr>
    </w:p>
    <w:sectPr w:rsidR="00564D4F" w:rsidRPr="00564D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C02CE"/>
    <w:multiLevelType w:val="hybridMultilevel"/>
    <w:tmpl w:val="8A729E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E745280"/>
    <w:multiLevelType w:val="hybridMultilevel"/>
    <w:tmpl w:val="779AB6BA"/>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5103DB6"/>
    <w:multiLevelType w:val="hybridMultilevel"/>
    <w:tmpl w:val="4170D82C"/>
    <w:lvl w:ilvl="0" w:tplc="3474950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9EB"/>
    <w:rsid w:val="000F29EB"/>
    <w:rsid w:val="00243CFE"/>
    <w:rsid w:val="002679FB"/>
    <w:rsid w:val="005152ED"/>
    <w:rsid w:val="00564D4F"/>
    <w:rsid w:val="007F0F4D"/>
    <w:rsid w:val="00AF5DCC"/>
    <w:rsid w:val="00FC65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0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9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2679FB"/>
    <w:pPr>
      <w:spacing w:after="0" w:line="240" w:lineRule="auto"/>
      <w:jc w:val="center"/>
    </w:pPr>
    <w:rPr>
      <w:rFonts w:ascii="Times New Roman" w:eastAsia="Times New Roman" w:hAnsi="Times New Roman" w:cs="Times New Roman"/>
      <w:sz w:val="20"/>
      <w:szCs w:val="20"/>
      <w:lang w:val="en-US"/>
    </w:rPr>
  </w:style>
  <w:style w:type="paragraph" w:customStyle="1" w:styleId="Author">
    <w:name w:val="Author"/>
    <w:uiPriority w:val="99"/>
    <w:rsid w:val="002679FB"/>
    <w:pPr>
      <w:spacing w:before="360" w:after="40" w:line="240" w:lineRule="auto"/>
      <w:jc w:val="center"/>
    </w:pPr>
    <w:rPr>
      <w:rFonts w:ascii="Times New Roman" w:eastAsia="Times New Roman" w:hAnsi="Times New Roman" w:cs="Times New Roman"/>
      <w:noProof/>
      <w:lang w:val="en-US"/>
    </w:rPr>
  </w:style>
  <w:style w:type="paragraph" w:customStyle="1" w:styleId="Default">
    <w:name w:val="Default"/>
    <w:rsid w:val="00243CFE"/>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564D4F"/>
    <w:rPr>
      <w:color w:val="0563C1" w:themeColor="hyperlink"/>
      <w:u w:val="single"/>
    </w:rPr>
  </w:style>
  <w:style w:type="character" w:customStyle="1" w:styleId="UnresolvedMention">
    <w:name w:val="Unresolved Mention"/>
    <w:basedOn w:val="DefaultParagraphFont"/>
    <w:uiPriority w:val="99"/>
    <w:semiHidden/>
    <w:unhideWhenUsed/>
    <w:rsid w:val="00564D4F"/>
    <w:rPr>
      <w:color w:val="605E5C"/>
      <w:shd w:val="clear" w:color="auto" w:fill="E1DFDD"/>
    </w:rPr>
  </w:style>
  <w:style w:type="paragraph" w:styleId="BalloonText">
    <w:name w:val="Balloon Text"/>
    <w:basedOn w:val="Normal"/>
    <w:link w:val="BalloonTextChar"/>
    <w:uiPriority w:val="99"/>
    <w:semiHidden/>
    <w:unhideWhenUsed/>
    <w:rsid w:val="007F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F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9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2679FB"/>
    <w:pPr>
      <w:spacing w:after="0" w:line="240" w:lineRule="auto"/>
      <w:jc w:val="center"/>
    </w:pPr>
    <w:rPr>
      <w:rFonts w:ascii="Times New Roman" w:eastAsia="Times New Roman" w:hAnsi="Times New Roman" w:cs="Times New Roman"/>
      <w:sz w:val="20"/>
      <w:szCs w:val="20"/>
      <w:lang w:val="en-US"/>
    </w:rPr>
  </w:style>
  <w:style w:type="paragraph" w:customStyle="1" w:styleId="Author">
    <w:name w:val="Author"/>
    <w:uiPriority w:val="99"/>
    <w:rsid w:val="002679FB"/>
    <w:pPr>
      <w:spacing w:before="360" w:after="40" w:line="240" w:lineRule="auto"/>
      <w:jc w:val="center"/>
    </w:pPr>
    <w:rPr>
      <w:rFonts w:ascii="Times New Roman" w:eastAsia="Times New Roman" w:hAnsi="Times New Roman" w:cs="Times New Roman"/>
      <w:noProof/>
      <w:lang w:val="en-US"/>
    </w:rPr>
  </w:style>
  <w:style w:type="paragraph" w:customStyle="1" w:styleId="Default">
    <w:name w:val="Default"/>
    <w:rsid w:val="00243CFE"/>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564D4F"/>
    <w:rPr>
      <w:color w:val="0563C1" w:themeColor="hyperlink"/>
      <w:u w:val="single"/>
    </w:rPr>
  </w:style>
  <w:style w:type="character" w:customStyle="1" w:styleId="UnresolvedMention">
    <w:name w:val="Unresolved Mention"/>
    <w:basedOn w:val="DefaultParagraphFont"/>
    <w:uiPriority w:val="99"/>
    <w:semiHidden/>
    <w:unhideWhenUsed/>
    <w:rsid w:val="00564D4F"/>
    <w:rPr>
      <w:color w:val="605E5C"/>
      <w:shd w:val="clear" w:color="auto" w:fill="E1DFDD"/>
    </w:rPr>
  </w:style>
  <w:style w:type="paragraph" w:styleId="BalloonText">
    <w:name w:val="Balloon Text"/>
    <w:basedOn w:val="Normal"/>
    <w:link w:val="BalloonTextChar"/>
    <w:uiPriority w:val="99"/>
    <w:semiHidden/>
    <w:unhideWhenUsed/>
    <w:rsid w:val="007F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F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abesh666@gmail.com" TargetMode="Externa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Abesh</dc:creator>
  <cp:lastModifiedBy>medicinalchemistry</cp:lastModifiedBy>
  <cp:revision>3</cp:revision>
  <dcterms:created xsi:type="dcterms:W3CDTF">2023-02-25T04:10:00Z</dcterms:created>
  <dcterms:modified xsi:type="dcterms:W3CDTF">2023-02-25T04:10:00Z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bf3cf221-86eb-47dc-be58-9c84383c33d3</vt:lpwstr>
  </property>
</Properties>
</file>