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D7B" w:rsidRDefault="00874D7B" w:rsidP="00874D7B">
      <w:pPr>
        <w:jc w:val="both"/>
        <w:rPr>
          <w:rFonts w:ascii="Times New Roman" w:hAnsi="Times New Roman" w:cs="Times New Roman"/>
          <w:b/>
          <w:bCs/>
          <w:sz w:val="32"/>
          <w:szCs w:val="24"/>
        </w:rPr>
      </w:pPr>
      <w:bookmarkStart w:id="0" w:name="_Hlk69724021"/>
      <w:bookmarkStart w:id="1" w:name="_Hlk69724425"/>
      <w:r>
        <w:rPr>
          <w:rFonts w:ascii="Times New Roman" w:hAnsi="Times New Roman" w:cs="Times New Roman"/>
          <w:b/>
          <w:bCs/>
          <w:sz w:val="32"/>
          <w:szCs w:val="24"/>
        </w:rPr>
        <w:t>The spike receptor binding motif G496S substitution determines the replication fitness of SARS-cov-2 Omicron sublineage</w:t>
      </w:r>
    </w:p>
    <w:p w:rsidR="00874D7B" w:rsidRDefault="00874D7B" w:rsidP="00874D7B">
      <w:pPr>
        <w:jc w:val="both"/>
      </w:pPr>
      <w:proofErr w:type="spellStart"/>
      <w:r>
        <w:t>Ronghui</w:t>
      </w:r>
      <w:proofErr w:type="spellEnd"/>
      <w:r>
        <w:t xml:space="preserve"> Liang</w:t>
      </w:r>
      <w:bookmarkStart w:id="2" w:name="_GoBack"/>
      <w:bookmarkEnd w:id="2"/>
    </w:p>
    <w:p w:rsidR="00874D7B" w:rsidRDefault="00874D7B" w:rsidP="00874D7B">
      <w:pPr>
        <w:jc w:val="both"/>
      </w:pPr>
      <w:r>
        <w:t xml:space="preserve">Microbiology University, </w:t>
      </w:r>
      <w:r>
        <w:t>Hong Kong</w:t>
      </w:r>
    </w:p>
    <w:p w:rsidR="00874D7B" w:rsidRDefault="00874D7B" w:rsidP="00874D7B">
      <w:pPr>
        <w:jc w:val="both"/>
        <w:rPr>
          <w:rFonts w:ascii="Times New Roman" w:hAnsi="Times New Roman" w:cs="Times New Roman"/>
          <w:b/>
          <w:bCs/>
          <w:sz w:val="24"/>
          <w:szCs w:val="24"/>
        </w:rPr>
      </w:pPr>
      <w:r w:rsidRPr="00D55EFE">
        <w:rPr>
          <w:rFonts w:ascii="Times New Roman" w:hAnsi="Times New Roman" w:cs="Times New Roman"/>
          <w:b/>
          <w:bCs/>
          <w:sz w:val="24"/>
          <w:szCs w:val="24"/>
        </w:rPr>
        <w:t>Abstract</w:t>
      </w:r>
      <w:bookmarkEnd w:id="0"/>
      <w:bookmarkEnd w:id="1"/>
    </w:p>
    <w:p w:rsidR="00874D7B" w:rsidRPr="00356D0E" w:rsidRDefault="00874D7B" w:rsidP="00874D7B">
      <w:pPr>
        <w:jc w:val="both"/>
        <w:rPr>
          <w:rFonts w:ascii="Times New Roman" w:hAnsi="Times New Roman" w:cs="Times New Roman"/>
          <w:sz w:val="20"/>
          <w:szCs w:val="20"/>
        </w:rPr>
      </w:pPr>
      <w:r w:rsidRPr="00356D0E">
        <w:rPr>
          <w:rFonts w:ascii="Times New Roman" w:hAnsi="Times New Roman" w:cs="Times New Roman"/>
          <w:sz w:val="20"/>
          <w:szCs w:val="20"/>
        </w:rPr>
        <w:t xml:space="preserve">The replication and pathogenicity of SARS-CoV-2 Omicron BA.2 are comparable to that of BA.1 in experimental animal models. However, BA.2 has rapidly emerged to overtake BA.1 to become the predominant circulating SARS-CoV-2 variant worldwide. Here, we compared the replication fitness of BA.1 and BA.2 in cell culture and in the Syrian hamster model of COVID-19. Using a reverse genetics approach, we found that the BA.1-specific spike mutation G496S compromises its replication fitness, which may contribute to BA.1 being outcompeted by BA.2 in the real world. Additionally, the BA.1-unique G496S substitution confers differentiated sensitivity to therapeutic monoclonal antibodies, which partially recapitulates the </w:t>
      </w:r>
      <w:proofErr w:type="spellStart"/>
      <w:r w:rsidRPr="00356D0E">
        <w:rPr>
          <w:rFonts w:ascii="Times New Roman" w:hAnsi="Times New Roman" w:cs="Times New Roman"/>
          <w:sz w:val="20"/>
          <w:szCs w:val="20"/>
        </w:rPr>
        <w:t>immunoevasive</w:t>
      </w:r>
      <w:proofErr w:type="spellEnd"/>
      <w:r w:rsidRPr="00356D0E">
        <w:rPr>
          <w:rFonts w:ascii="Times New Roman" w:hAnsi="Times New Roman" w:cs="Times New Roman"/>
          <w:sz w:val="20"/>
          <w:szCs w:val="20"/>
        </w:rPr>
        <w:t xml:space="preserve"> phenotype of BA.1 and BA.2. In summary, our study identified G496S as an important determinant during the evolutionary trajectory of SARS-CoV-2.</w:t>
      </w:r>
    </w:p>
    <w:p w:rsidR="00874D7B" w:rsidRDefault="00874D7B" w:rsidP="00874D7B">
      <w:pPr>
        <w:jc w:val="both"/>
        <w:rPr>
          <w:rFonts w:ascii="Times New Roman" w:hAnsi="Times New Roman" w:cs="Times New Roman"/>
          <w:b/>
          <w:sz w:val="24"/>
          <w:szCs w:val="24"/>
        </w:rPr>
      </w:pPr>
      <w:r w:rsidRPr="00D55EFE">
        <w:rPr>
          <w:rFonts w:ascii="Times New Roman" w:hAnsi="Times New Roman" w:cs="Times New Roman"/>
          <w:b/>
          <w:sz w:val="24"/>
          <w:szCs w:val="24"/>
        </w:rPr>
        <w:t>Biography</w:t>
      </w:r>
    </w:p>
    <w:p w:rsidR="00874D7B" w:rsidRPr="00356D0E" w:rsidRDefault="00874D7B" w:rsidP="00874D7B">
      <w:pPr>
        <w:jc w:val="both"/>
        <w:rPr>
          <w:rFonts w:ascii="Times New Roman" w:hAnsi="Times New Roman" w:cs="Times New Roman"/>
          <w:bCs/>
          <w:sz w:val="20"/>
          <w:szCs w:val="20"/>
        </w:rPr>
      </w:pPr>
      <w:proofErr w:type="spellStart"/>
      <w:r w:rsidRPr="00356D0E">
        <w:rPr>
          <w:rFonts w:ascii="Times New Roman" w:hAnsi="Times New Roman" w:cs="Times New Roman"/>
          <w:sz w:val="20"/>
          <w:szCs w:val="20"/>
        </w:rPr>
        <w:t>Ronghui</w:t>
      </w:r>
      <w:proofErr w:type="spellEnd"/>
      <w:r w:rsidRPr="00356D0E">
        <w:rPr>
          <w:rFonts w:ascii="Times New Roman" w:hAnsi="Times New Roman" w:cs="Times New Roman"/>
          <w:sz w:val="20"/>
          <w:szCs w:val="20"/>
        </w:rPr>
        <w:t xml:space="preserve"> Liang’s research focuses on molecular virology and particularly antiviral research on emergency virus diseases, such as SARS-CoV-2, MERS-</w:t>
      </w:r>
      <w:proofErr w:type="spellStart"/>
      <w:r w:rsidRPr="00356D0E">
        <w:rPr>
          <w:rFonts w:ascii="Times New Roman" w:hAnsi="Times New Roman" w:cs="Times New Roman"/>
          <w:sz w:val="20"/>
          <w:szCs w:val="20"/>
        </w:rPr>
        <w:t>CoV</w:t>
      </w:r>
      <w:proofErr w:type="spellEnd"/>
      <w:r w:rsidRPr="00356D0E">
        <w:rPr>
          <w:rFonts w:ascii="Times New Roman" w:hAnsi="Times New Roman" w:cs="Times New Roman"/>
          <w:sz w:val="20"/>
          <w:szCs w:val="20"/>
        </w:rPr>
        <w:t xml:space="preserve">, and Influenza A. His group developed valid reverse genetic systems for the epidemic SARS-CoV-2 and Influenza </w:t>
      </w:r>
      <w:proofErr w:type="gramStart"/>
      <w:r w:rsidRPr="00356D0E">
        <w:rPr>
          <w:rFonts w:ascii="Times New Roman" w:hAnsi="Times New Roman" w:cs="Times New Roman"/>
          <w:sz w:val="20"/>
          <w:szCs w:val="20"/>
        </w:rPr>
        <w:t>A</w:t>
      </w:r>
      <w:proofErr w:type="gramEnd"/>
      <w:r w:rsidRPr="00356D0E">
        <w:rPr>
          <w:rFonts w:ascii="Times New Roman" w:hAnsi="Times New Roman" w:cs="Times New Roman"/>
          <w:sz w:val="20"/>
          <w:szCs w:val="20"/>
        </w:rPr>
        <w:t xml:space="preserve"> virus. His basic research is designed to decipher how viral and cellular factors modulate each other during viral infection, leading to productive viral replication (JBC) and effective immune response (Science and EMI). Understanding the virus life cycle at a molecular level helps our team to discover the potential </w:t>
      </w:r>
      <w:proofErr w:type="spellStart"/>
      <w:r w:rsidRPr="00356D0E">
        <w:rPr>
          <w:rFonts w:ascii="Times New Roman" w:hAnsi="Times New Roman" w:cs="Times New Roman"/>
          <w:sz w:val="20"/>
          <w:szCs w:val="20"/>
        </w:rPr>
        <w:t>broadspectrum</w:t>
      </w:r>
      <w:proofErr w:type="spellEnd"/>
      <w:r w:rsidRPr="00356D0E">
        <w:rPr>
          <w:rFonts w:ascii="Times New Roman" w:hAnsi="Times New Roman" w:cs="Times New Roman"/>
          <w:sz w:val="20"/>
          <w:szCs w:val="20"/>
        </w:rPr>
        <w:t xml:space="preserve"> therapeutics, like </w:t>
      </w:r>
      <w:proofErr w:type="spellStart"/>
      <w:r w:rsidRPr="00356D0E">
        <w:rPr>
          <w:rFonts w:ascii="Times New Roman" w:hAnsi="Times New Roman" w:cs="Times New Roman"/>
          <w:sz w:val="20"/>
          <w:szCs w:val="20"/>
        </w:rPr>
        <w:t>clofazimine</w:t>
      </w:r>
      <w:proofErr w:type="spellEnd"/>
      <w:r w:rsidRPr="00356D0E">
        <w:rPr>
          <w:rFonts w:ascii="Times New Roman" w:hAnsi="Times New Roman" w:cs="Times New Roman"/>
          <w:sz w:val="20"/>
          <w:szCs w:val="20"/>
        </w:rPr>
        <w:t xml:space="preserve"> (Nature)</w:t>
      </w:r>
    </w:p>
    <w:p w:rsidR="00874D7B" w:rsidRDefault="00874D7B" w:rsidP="00874D7B">
      <w:pPr>
        <w:jc w:val="both"/>
        <w:rPr>
          <w:rFonts w:ascii="Times New Roman" w:hAnsi="Times New Roman" w:cs="Times New Roman"/>
          <w:bCs/>
          <w:sz w:val="20"/>
          <w:szCs w:val="24"/>
        </w:rPr>
      </w:pPr>
    </w:p>
    <w:p w:rsidR="00874D7B" w:rsidRDefault="00874D7B" w:rsidP="00874D7B">
      <w:pPr>
        <w:jc w:val="both"/>
      </w:pPr>
      <w:bookmarkStart w:id="3" w:name="_Hlk117617216"/>
      <w:r w:rsidRPr="00BF4CB2">
        <w:rPr>
          <w:b/>
          <w:bCs/>
        </w:rPr>
        <w:t>Received:</w:t>
      </w:r>
      <w:r w:rsidRPr="00BF4CB2">
        <w:t xml:space="preserve"> </w:t>
      </w:r>
      <w:r w:rsidR="00356D0E">
        <w:t>October</w:t>
      </w:r>
      <w:r>
        <w:t xml:space="preserve"> </w:t>
      </w:r>
      <w:r w:rsidR="00356D0E">
        <w:t>17</w:t>
      </w:r>
      <w:r w:rsidRPr="00BF4CB2">
        <w:t xml:space="preserve">, 2022; </w:t>
      </w:r>
      <w:r w:rsidRPr="00BF4CB2">
        <w:rPr>
          <w:b/>
          <w:bCs/>
        </w:rPr>
        <w:t>Accepted:</w:t>
      </w:r>
      <w:r w:rsidRPr="00BF4CB2">
        <w:t xml:space="preserve"> </w:t>
      </w:r>
      <w:r w:rsidR="00356D0E">
        <w:t>October 19</w:t>
      </w:r>
      <w:r w:rsidRPr="00BF4CB2">
        <w:t xml:space="preserve">, 2022; </w:t>
      </w:r>
      <w:r w:rsidRPr="00BF4CB2">
        <w:rPr>
          <w:b/>
          <w:bCs/>
        </w:rPr>
        <w:t>Published:</w:t>
      </w:r>
      <w:r w:rsidRPr="00BF4CB2">
        <w:t xml:space="preserve"> </w:t>
      </w:r>
      <w:r w:rsidR="00356D0E">
        <w:t>February</w:t>
      </w:r>
      <w:r>
        <w:t xml:space="preserve"> </w:t>
      </w:r>
      <w:r w:rsidR="00356D0E">
        <w:t>22, 2023</w:t>
      </w:r>
    </w:p>
    <w:bookmarkEnd w:id="3"/>
    <w:p w:rsidR="00874D7B" w:rsidRDefault="00874D7B" w:rsidP="00874D7B">
      <w:pPr>
        <w:jc w:val="both"/>
      </w:pPr>
    </w:p>
    <w:p w:rsidR="00602C55" w:rsidRDefault="00602C55"/>
    <w:sectPr w:rsidR="00602C55"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7B"/>
    <w:rsid w:val="00356D0E"/>
    <w:rsid w:val="00602C55"/>
    <w:rsid w:val="00874D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7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74D7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7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74D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WFH</cp:lastModifiedBy>
  <cp:revision>1</cp:revision>
  <dcterms:created xsi:type="dcterms:W3CDTF">2023-02-24T06:54:00Z</dcterms:created>
  <dcterms:modified xsi:type="dcterms:W3CDTF">2023-02-24T07:09:00Z</dcterms:modified>
</cp:coreProperties>
</file>