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F318" w14:textId="631569E4" w:rsidR="00AE3E37" w:rsidRDefault="00E01FE5" w:rsidP="00494130">
      <w:pPr>
        <w:pStyle w:val="Heading1"/>
        <w:spacing w:before="170"/>
        <w:ind w:left="0"/>
        <w:rPr>
          <w:color w:val="337AB7"/>
        </w:rPr>
      </w:pPr>
      <w:r>
        <w:rPr>
          <w:color w:val="337AB7"/>
        </w:rPr>
        <w:t xml:space="preserve">Investigation of </w:t>
      </w:r>
      <w:proofErr w:type="spellStart"/>
      <w:r>
        <w:rPr>
          <w:color w:val="337AB7"/>
        </w:rPr>
        <w:t>magnetotocosome</w:t>
      </w:r>
      <w:proofErr w:type="spellEnd"/>
      <w:r>
        <w:rPr>
          <w:color w:val="337AB7"/>
        </w:rPr>
        <w:t xml:space="preserve"> as the magnetic targeting drug delivery system for </w:t>
      </w:r>
      <w:proofErr w:type="spellStart"/>
      <w:r>
        <w:rPr>
          <w:color w:val="337AB7"/>
        </w:rPr>
        <w:t>Sorafenib</w:t>
      </w:r>
      <w:proofErr w:type="spellEnd"/>
      <w:r>
        <w:rPr>
          <w:color w:val="337AB7"/>
        </w:rPr>
        <w:t xml:space="preserve"> </w:t>
      </w:r>
      <w:proofErr w:type="spellStart"/>
      <w:r>
        <w:rPr>
          <w:color w:val="337AB7"/>
        </w:rPr>
        <w:t>tosylate</w:t>
      </w:r>
      <w:proofErr w:type="spellEnd"/>
      <w:r>
        <w:rPr>
          <w:color w:val="337AB7"/>
        </w:rPr>
        <w:t xml:space="preserve"> anticancer drug</w:t>
      </w:r>
    </w:p>
    <w:p w14:paraId="3F40B571" w14:textId="77777777" w:rsidR="00E01FE5" w:rsidRDefault="00E01FE5" w:rsidP="00494130">
      <w:pPr>
        <w:pStyle w:val="Heading1"/>
        <w:spacing w:before="170"/>
        <w:ind w:left="0"/>
      </w:pPr>
      <w:bookmarkStart w:id="0" w:name="_GoBack"/>
      <w:bookmarkEnd w:id="0"/>
    </w:p>
    <w:p w14:paraId="409F9704" w14:textId="3630689D" w:rsidR="005973B9" w:rsidRDefault="00E01FE5" w:rsidP="00BD71D2">
      <w:pPr>
        <w:pStyle w:val="BodyText"/>
        <w:spacing w:before="73" w:line="198" w:lineRule="exact"/>
        <w:ind w:left="100" w:right="5987"/>
        <w:rPr>
          <w:rFonts w:ascii="Arial"/>
        </w:rPr>
      </w:pPr>
      <w:proofErr w:type="spellStart"/>
      <w:r>
        <w:rPr>
          <w:rFonts w:ascii="Arial"/>
        </w:rPr>
        <w:t>Gholamhossein</w:t>
      </w:r>
      <w:proofErr w:type="spellEnd"/>
      <w:r>
        <w:rPr>
          <w:rFonts w:ascii="Arial"/>
        </w:rPr>
        <w:t xml:space="preserve"> </w:t>
      </w:r>
      <w:proofErr w:type="spellStart"/>
      <w:r>
        <w:rPr>
          <w:rFonts w:ascii="Arial"/>
        </w:rPr>
        <w:t>Sodeifian</w:t>
      </w:r>
      <w:proofErr w:type="spellEnd"/>
      <w:r w:rsidR="005973B9">
        <w:rPr>
          <w:rFonts w:ascii="Arial"/>
        </w:rPr>
        <w:t xml:space="preserve"> </w:t>
      </w:r>
    </w:p>
    <w:p w14:paraId="7A2A170A" w14:textId="4C4A7976" w:rsidR="00E01FE5" w:rsidRDefault="000A2EFD" w:rsidP="00BD71D2">
      <w:pPr>
        <w:pStyle w:val="BodyText"/>
        <w:spacing w:before="73" w:line="198" w:lineRule="exact"/>
        <w:ind w:left="100" w:right="5987"/>
        <w:rPr>
          <w:rFonts w:ascii="Arial"/>
        </w:rPr>
      </w:pPr>
      <w:r>
        <w:rPr>
          <w:rFonts w:ascii="Arial"/>
        </w:rPr>
        <w:t>University of Kashan, Kashan, Iran</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6B425EC" w14:textId="138A64B5" w:rsidR="00AE3E37" w:rsidRDefault="00A9710C" w:rsidP="0015116A">
      <w:pPr>
        <w:pStyle w:val="Heading3"/>
        <w:spacing w:before="147"/>
        <w:jc w:val="both"/>
        <w:rPr>
          <w:color w:val="BF5A14"/>
        </w:rPr>
      </w:pPr>
      <w:r>
        <w:rPr>
          <w:color w:val="BF5A14"/>
        </w:rPr>
        <w:lastRenderedPageBreak/>
        <w:t>Abstract</w:t>
      </w:r>
      <w:r w:rsidR="00404E5B">
        <w:rPr>
          <w:color w:val="BF5A14"/>
        </w:rPr>
        <w:t xml:space="preserve"> </w:t>
      </w:r>
    </w:p>
    <w:p w14:paraId="04D01268" w14:textId="5FE8191F" w:rsidR="00ED2C63" w:rsidRPr="00A91086" w:rsidRDefault="00ED2C63" w:rsidP="00C4034E">
      <w:pPr>
        <w:pStyle w:val="Heading3"/>
        <w:spacing w:before="90" w:line="281" w:lineRule="auto"/>
        <w:ind w:left="102"/>
        <w:jc w:val="both"/>
        <w:rPr>
          <w:rFonts w:ascii="Tw Cen MT" w:eastAsia="Tw Cen MT" w:hAnsi="Tw Cen MT" w:cs="Tw Cen MT"/>
          <w:b w:val="0"/>
          <w:bCs w:val="0"/>
          <w:sz w:val="18"/>
          <w:szCs w:val="18"/>
        </w:rPr>
      </w:pPr>
      <w:r w:rsidRPr="00A91086">
        <w:rPr>
          <w:rFonts w:ascii="Tw Cen MT" w:eastAsia="Tw Cen MT" w:hAnsi="Tw Cen MT" w:cs="Tw Cen MT"/>
          <w:b w:val="0"/>
          <w:bCs w:val="0"/>
          <w:sz w:val="18"/>
          <w:szCs w:val="18"/>
        </w:rPr>
        <w:t xml:space="preserve">Hepatocellular carcinoma (HCC) is the fifth prevalent malignant tumor having the third rank in the global mortality chart </w:t>
      </w:r>
      <w:r w:rsidRPr="00A91086">
        <w:rPr>
          <w:rFonts w:ascii="Tw Cen MT" w:eastAsia="Tw Cen MT" w:hAnsi="Tw Cen MT" w:cs="Tw Cen MT"/>
          <w:b w:val="0"/>
          <w:bCs w:val="0"/>
          <w:sz w:val="18"/>
          <w:szCs w:val="18"/>
        </w:rPr>
        <w:fldChar w:fldCharType="begin"/>
      </w:r>
      <w:r w:rsidRPr="00A91086">
        <w:rPr>
          <w:rFonts w:ascii="Tw Cen MT" w:eastAsia="Tw Cen MT" w:hAnsi="Tw Cen MT" w:cs="Tw Cen MT"/>
          <w:b w:val="0"/>
          <w:bCs w:val="0"/>
          <w:sz w:val="18"/>
          <w:szCs w:val="18"/>
        </w:rPr>
        <w:instrText xml:space="preserve"> ADDIN EN.CITE &lt;EndNote&gt;&lt;Cite&gt;&lt;Author&gt;Zhang&lt;/Author&gt;&lt;Year&gt;2013&lt;/Year&gt;&lt;RecNum&gt;52&lt;/RecNum&gt;&lt;DisplayText&gt;&lt;style face="superscript"&gt;2,3&lt;/style&gt;&lt;/DisplayText&gt;&lt;record&gt;&lt;rec-number&gt;52&lt;/rec-number&gt;&lt;foreign-keys&gt;&lt;key app="EN" db-id="d2epxwxsnwdvd5e0arapwvvofeewzt0et99w" timestamp="1633164107"&gt;52&lt;/key&gt;&lt;/foreign-keys&gt;&lt;ref-type name="Journal Article"&gt;17&lt;/ref-type&gt;&lt;contributors&gt;&lt;authors&gt;&lt;author&gt;Zhang, Lei&lt;/author&gt;&lt;author&gt;Gong, Faming&lt;/author&gt;&lt;author&gt;Zhang, Fang&lt;/author&gt;&lt;author&gt;Ma, Jing&lt;/author&gt;&lt;author&gt;Zhang, Peidong&lt;/author&gt;&lt;author&gt;Shen, Jun&lt;/author&gt;&lt;/authors&gt;&lt;/contributors&gt;&lt;titles&gt;&lt;title&gt;Targeted therapy for human hepatic carcinoma cells using folate-functionalized polymeric micelles loaded with superparamagnetic iron oxide and sorafenib in vitro&lt;/title&gt;&lt;secondary-title&gt;International journal of nanomedicine&lt;/secondary-title&gt;&lt;/titles&gt;&lt;periodical&gt;&lt;full-title&gt;International journal of nanomedicine&lt;/full-title&gt;&lt;/periodical&gt;&lt;pages&gt;1517&lt;/pages&gt;&lt;volume&gt;8&lt;/volume&gt;&lt;dates&gt;&lt;year&gt;2013&lt;/year&gt;&lt;/dates&gt;&lt;urls&gt;&lt;/urls&gt;&lt;/record&gt;&lt;/Cite&gt;&lt;Cite&gt;&lt;Author&gt;Monajati&lt;/Author&gt;&lt;Year&gt;2018&lt;/Year&gt;&lt;RecNum&gt;53&lt;/RecNum&gt;&lt;record&gt;&lt;rec-number&gt;53&lt;/rec-number&gt;&lt;foreign-keys&gt;&lt;key app="EN" db-id="d2epxwxsnwdvd5e0arapwvvofeewzt0et99w" timestamp="1633165068"&gt;53&lt;/key&gt;&lt;/foreign-keys&gt;&lt;ref-type name="Journal Article"&gt;17&lt;/ref-type&gt;&lt;contributors&gt;&lt;authors&gt;&lt;author&gt;Monajati, Maryam&lt;/author&gt;&lt;author&gt;Tavakoli, Shirin&lt;/author&gt;&lt;author&gt;Abolmaali, Samira Sadat&lt;/author&gt;&lt;author&gt;Yousefi, Gholamhossein&lt;/author&gt;&lt;author&gt;Tamaddon, AliMohammad&lt;/author&gt;&lt;/authors&gt;&lt;/contributors&gt;&lt;titles&gt;&lt;title&gt;Effect of PEGylation on assembly morphology and cellular uptake of poly ethyleneimine-cholesterol conjugates for delivery of sorafenib tosylate in hepatocellular carcinoma&lt;/title&gt;&lt;secondary-title&gt;BioImpacts: BI&lt;/secondary-title&gt;&lt;/titles&gt;&lt;periodical&gt;&lt;full-title&gt;BioImpacts: BI&lt;/full-title&gt;&lt;/periodical&gt;&lt;pages&gt;241&lt;/pages&gt;&lt;volume&gt;8&lt;/volume&gt;&lt;number&gt;4&lt;/number&gt;&lt;dates&gt;&lt;year&gt;2018&lt;/year&gt;&lt;/dates&gt;&lt;urls&gt;&lt;/urls&gt;&lt;/record&gt;&lt;/Cite&gt;&lt;/EndNote&gt;</w:instrText>
      </w:r>
      <w:r w:rsidRPr="00A91086">
        <w:rPr>
          <w:rFonts w:ascii="Tw Cen MT" w:eastAsia="Tw Cen MT" w:hAnsi="Tw Cen MT" w:cs="Tw Cen MT"/>
          <w:b w:val="0"/>
          <w:bCs w:val="0"/>
          <w:sz w:val="18"/>
          <w:szCs w:val="18"/>
        </w:rPr>
        <w:fldChar w:fldCharType="separate"/>
      </w:r>
      <w:r w:rsidRPr="00A91086">
        <w:rPr>
          <w:rFonts w:ascii="Tw Cen MT" w:eastAsia="Tw Cen MT" w:hAnsi="Tw Cen MT" w:cs="Tw Cen MT"/>
          <w:b w:val="0"/>
          <w:bCs w:val="0"/>
          <w:sz w:val="18"/>
          <w:szCs w:val="18"/>
        </w:rPr>
        <w:t>2,3</w:t>
      </w:r>
      <w:r w:rsidRPr="00A91086">
        <w:rPr>
          <w:rFonts w:ascii="Tw Cen MT" w:eastAsia="Tw Cen MT" w:hAnsi="Tw Cen MT" w:cs="Tw Cen MT"/>
          <w:b w:val="0"/>
          <w:bCs w:val="0"/>
          <w:sz w:val="18"/>
          <w:szCs w:val="18"/>
        </w:rPr>
        <w:fldChar w:fldCharType="end"/>
      </w:r>
      <w:r w:rsidRPr="00A91086">
        <w:rPr>
          <w:rFonts w:ascii="Tw Cen MT" w:eastAsia="Tw Cen MT" w:hAnsi="Tw Cen MT" w:cs="Tw Cen MT"/>
          <w:b w:val="0"/>
          <w:bCs w:val="0"/>
          <w:sz w:val="18"/>
          <w:szCs w:val="18"/>
        </w:rPr>
        <w:t xml:space="preserve">. </w:t>
      </w:r>
      <w:proofErr w:type="spellStart"/>
      <w:r w:rsidRPr="00A91086">
        <w:rPr>
          <w:rFonts w:ascii="Tw Cen MT" w:eastAsia="Tw Cen MT" w:hAnsi="Tw Cen MT" w:cs="Tw Cen MT"/>
          <w:b w:val="0"/>
          <w:bCs w:val="0"/>
          <w:sz w:val="18"/>
          <w:szCs w:val="18"/>
        </w:rPr>
        <w:t>Sorafenib</w:t>
      </w:r>
      <w:proofErr w:type="spellEnd"/>
      <w:r w:rsidRPr="00A91086">
        <w:rPr>
          <w:rFonts w:ascii="Tw Cen MT" w:eastAsia="Tw Cen MT" w:hAnsi="Tw Cen MT" w:cs="Tw Cen MT"/>
          <w:b w:val="0"/>
          <w:bCs w:val="0"/>
          <w:sz w:val="18"/>
          <w:szCs w:val="18"/>
        </w:rPr>
        <w:t xml:space="preserve"> </w:t>
      </w:r>
      <w:proofErr w:type="spellStart"/>
      <w:r w:rsidRPr="00A91086">
        <w:rPr>
          <w:rFonts w:ascii="Tw Cen MT" w:eastAsia="Tw Cen MT" w:hAnsi="Tw Cen MT" w:cs="Tw Cen MT"/>
          <w:b w:val="0"/>
          <w:bCs w:val="0"/>
          <w:sz w:val="18"/>
          <w:szCs w:val="18"/>
        </w:rPr>
        <w:t>tosylate</w:t>
      </w:r>
      <w:proofErr w:type="spellEnd"/>
      <w:r w:rsidRPr="00A91086">
        <w:rPr>
          <w:rFonts w:ascii="Tw Cen MT" w:eastAsia="Tw Cen MT" w:hAnsi="Tw Cen MT" w:cs="Tw Cen MT"/>
          <w:b w:val="0"/>
          <w:bCs w:val="0"/>
          <w:sz w:val="18"/>
          <w:szCs w:val="18"/>
        </w:rPr>
        <w:t xml:space="preserve"> (SFB) is approved as the first anticancer drug for the treatment of HCC. according to the Biopharmaceutical Classification Scheme (BCS), SFB belongs to class II compounds that indicate a very poor solubility in the aqueous solution at different pH values from pH=1.2 to pH=7.4 (slow dissolution rate within the gastrointestinal tracts) and high permeability from the gastrointestinal lumen. The drug has low oral bioavailability (8.43%), consequently, high dose treatment is necessary which may cause the systemic toxicity</w:t>
      </w:r>
      <w:r w:rsidR="0015116A" w:rsidRPr="00A91086">
        <w:rPr>
          <w:rFonts w:ascii="Tw Cen MT" w:eastAsia="Tw Cen MT" w:hAnsi="Tw Cen MT" w:cs="Tw Cen MT"/>
          <w:b w:val="0"/>
          <w:bCs w:val="0"/>
          <w:sz w:val="18"/>
          <w:szCs w:val="18"/>
        </w:rPr>
        <w:t>. Nanotechnology based novel drug delivery systems are applied to design the systems with improved biocompatibility and biodegradability which can deliver the drug molecule efficiently and safely to the target tissue thus decrease the side effects, especially for drugs with narrow therapeutic index or cytotoxic effects.</w:t>
      </w:r>
      <w:r w:rsidR="00EC2EEC" w:rsidRPr="00A91086">
        <w:rPr>
          <w:rFonts w:ascii="Tw Cen MT" w:eastAsia="Tw Cen MT" w:hAnsi="Tw Cen MT" w:cs="Tw Cen MT"/>
          <w:b w:val="0"/>
          <w:bCs w:val="0"/>
          <w:sz w:val="18"/>
          <w:szCs w:val="18"/>
        </w:rPr>
        <w:t xml:space="preserve"> </w:t>
      </w:r>
      <w:r w:rsidRPr="00A91086">
        <w:rPr>
          <w:rFonts w:ascii="Tw Cen MT" w:eastAsia="Tw Cen MT" w:hAnsi="Tw Cen MT" w:cs="Tw Cen MT"/>
          <w:b w:val="0"/>
          <w:bCs w:val="0"/>
          <w:sz w:val="18"/>
          <w:szCs w:val="18"/>
        </w:rPr>
        <w:t xml:space="preserve">In this research, for the first time, the </w:t>
      </w:r>
      <w:proofErr w:type="spellStart"/>
      <w:r w:rsidRPr="00A91086">
        <w:rPr>
          <w:rFonts w:ascii="Tw Cen MT" w:eastAsia="Tw Cen MT" w:hAnsi="Tw Cen MT" w:cs="Tw Cen MT"/>
          <w:b w:val="0"/>
          <w:bCs w:val="0"/>
          <w:sz w:val="18"/>
          <w:szCs w:val="18"/>
        </w:rPr>
        <w:t>magnetotocosome</w:t>
      </w:r>
      <w:proofErr w:type="spellEnd"/>
      <w:r w:rsidRPr="00A91086">
        <w:rPr>
          <w:rFonts w:ascii="Tw Cen MT" w:eastAsia="Tw Cen MT" w:hAnsi="Tw Cen MT" w:cs="Tw Cen MT"/>
          <w:b w:val="0"/>
          <w:bCs w:val="0"/>
          <w:sz w:val="18"/>
          <w:szCs w:val="18"/>
        </w:rPr>
        <w:t xml:space="preserve"> was developed as the biocompatible </w:t>
      </w:r>
      <w:proofErr w:type="spellStart"/>
      <w:r w:rsidRPr="00A91086">
        <w:rPr>
          <w:rFonts w:ascii="Tw Cen MT" w:eastAsia="Tw Cen MT" w:hAnsi="Tw Cen MT" w:cs="Tw Cen MT"/>
          <w:b w:val="0"/>
          <w:bCs w:val="0"/>
          <w:sz w:val="18"/>
          <w:szCs w:val="18"/>
        </w:rPr>
        <w:t>nanocarrier</w:t>
      </w:r>
      <w:proofErr w:type="spellEnd"/>
      <w:r w:rsidRPr="00A91086">
        <w:rPr>
          <w:rFonts w:ascii="Tw Cen MT" w:eastAsia="Tw Cen MT" w:hAnsi="Tw Cen MT" w:cs="Tw Cen MT"/>
          <w:b w:val="0"/>
          <w:bCs w:val="0"/>
          <w:sz w:val="18"/>
          <w:szCs w:val="18"/>
        </w:rPr>
        <w:t xml:space="preserve"> with improved drug encapsulation efficiency (up to </w:t>
      </w:r>
      <w:r w:rsidR="00C4034E" w:rsidRPr="00A91086">
        <w:rPr>
          <w:rFonts w:ascii="Tw Cen MT" w:eastAsia="Tw Cen MT" w:hAnsi="Tw Cen MT" w:cs="Tw Cen MT"/>
          <w:b w:val="0"/>
          <w:bCs w:val="0"/>
          <w:sz w:val="18"/>
          <w:szCs w:val="18"/>
        </w:rPr>
        <w:t>77</w:t>
      </w:r>
      <w:r w:rsidRPr="00A91086">
        <w:rPr>
          <w:rFonts w:ascii="Tw Cen MT" w:eastAsia="Tw Cen MT" w:hAnsi="Tw Cen MT" w:cs="Tw Cen MT"/>
          <w:b w:val="0"/>
          <w:bCs w:val="0"/>
          <w:sz w:val="18"/>
          <w:szCs w:val="18"/>
        </w:rPr>
        <w:t xml:space="preserve">%), extended stability, proper particle size </w:t>
      </w:r>
      <w:r w:rsidR="00C4034E" w:rsidRPr="00A91086">
        <w:rPr>
          <w:rFonts w:ascii="Tw Cen MT" w:eastAsia="Tw Cen MT" w:hAnsi="Tw Cen MT" w:cs="Tw Cen MT"/>
          <w:b w:val="0"/>
          <w:bCs w:val="0"/>
          <w:sz w:val="18"/>
          <w:szCs w:val="18"/>
        </w:rPr>
        <w:t xml:space="preserve">(&lt;150 nm) </w:t>
      </w:r>
      <w:r w:rsidRPr="00A91086">
        <w:rPr>
          <w:rFonts w:ascii="Tw Cen MT" w:eastAsia="Tw Cen MT" w:hAnsi="Tw Cen MT" w:cs="Tw Cen MT"/>
          <w:b w:val="0"/>
          <w:bCs w:val="0"/>
          <w:sz w:val="18"/>
          <w:szCs w:val="18"/>
        </w:rPr>
        <w:t xml:space="preserve">and industrial </w:t>
      </w:r>
      <w:proofErr w:type="spellStart"/>
      <w:r w:rsidRPr="00A91086">
        <w:rPr>
          <w:rFonts w:ascii="Tw Cen MT" w:eastAsia="Tw Cen MT" w:hAnsi="Tw Cen MT" w:cs="Tw Cen MT"/>
          <w:b w:val="0"/>
          <w:bCs w:val="0"/>
          <w:sz w:val="18"/>
          <w:szCs w:val="18"/>
        </w:rPr>
        <w:t>upscaling</w:t>
      </w:r>
      <w:proofErr w:type="spellEnd"/>
      <w:r w:rsidRPr="00A91086">
        <w:rPr>
          <w:rFonts w:ascii="Tw Cen MT" w:eastAsia="Tw Cen MT" w:hAnsi="Tw Cen MT" w:cs="Tw Cen MT"/>
          <w:b w:val="0"/>
          <w:bCs w:val="0"/>
          <w:sz w:val="18"/>
          <w:szCs w:val="18"/>
        </w:rPr>
        <w:t xml:space="preserve"> </w:t>
      </w:r>
      <w:r w:rsidR="00421502" w:rsidRPr="00A91086">
        <w:rPr>
          <w:rFonts w:ascii="Tw Cen MT" w:eastAsia="Tw Cen MT" w:hAnsi="Tw Cen MT" w:cs="Tw Cen MT"/>
          <w:b w:val="0"/>
          <w:bCs w:val="0"/>
          <w:sz w:val="18"/>
          <w:szCs w:val="18"/>
        </w:rPr>
        <w:t>(</w:t>
      </w:r>
      <w:proofErr w:type="spellStart"/>
      <w:r w:rsidR="00421502" w:rsidRPr="00A91086">
        <w:rPr>
          <w:rFonts w:ascii="Tw Cen MT" w:eastAsia="Tw Cen MT" w:hAnsi="Tw Cen MT" w:cs="Tw Cen MT"/>
          <w:b w:val="0"/>
          <w:bCs w:val="0"/>
          <w:sz w:val="18"/>
          <w:szCs w:val="18"/>
        </w:rPr>
        <w:t>Mozafari</w:t>
      </w:r>
      <w:proofErr w:type="spellEnd"/>
      <w:r w:rsidR="00421502" w:rsidRPr="00A91086">
        <w:rPr>
          <w:rFonts w:ascii="Tw Cen MT" w:eastAsia="Tw Cen MT" w:hAnsi="Tw Cen MT" w:cs="Tw Cen MT"/>
          <w:b w:val="0"/>
          <w:bCs w:val="0"/>
          <w:sz w:val="18"/>
          <w:szCs w:val="18"/>
        </w:rPr>
        <w:t xml:space="preserve"> method was applied to </w:t>
      </w:r>
      <w:r w:rsidR="001F3645" w:rsidRPr="00A91086">
        <w:rPr>
          <w:rFonts w:ascii="Tw Cen MT" w:eastAsia="Tw Cen MT" w:hAnsi="Tw Cen MT" w:cs="Tw Cen MT"/>
          <w:b w:val="0"/>
          <w:bCs w:val="0"/>
          <w:sz w:val="18"/>
          <w:szCs w:val="18"/>
        </w:rPr>
        <w:t xml:space="preserve">prepare the </w:t>
      </w:r>
      <w:proofErr w:type="spellStart"/>
      <w:r w:rsidR="001F3645" w:rsidRPr="00A91086">
        <w:rPr>
          <w:rFonts w:ascii="Tw Cen MT" w:eastAsia="Tw Cen MT" w:hAnsi="Tw Cen MT" w:cs="Tw Cen MT"/>
          <w:b w:val="0"/>
          <w:bCs w:val="0"/>
          <w:sz w:val="18"/>
          <w:szCs w:val="18"/>
        </w:rPr>
        <w:t>tocosome</w:t>
      </w:r>
      <w:proofErr w:type="spellEnd"/>
      <w:r w:rsidR="001F3645" w:rsidRPr="00A91086">
        <w:rPr>
          <w:rFonts w:ascii="Tw Cen MT" w:eastAsia="Tw Cen MT" w:hAnsi="Tw Cen MT" w:cs="Tw Cen MT"/>
          <w:b w:val="0"/>
          <w:bCs w:val="0"/>
          <w:sz w:val="18"/>
          <w:szCs w:val="18"/>
        </w:rPr>
        <w:t xml:space="preserve">) </w:t>
      </w:r>
      <w:r w:rsidRPr="00A91086">
        <w:rPr>
          <w:rFonts w:ascii="Tw Cen MT" w:eastAsia="Tw Cen MT" w:hAnsi="Tw Cen MT" w:cs="Tw Cen MT"/>
          <w:b w:val="0"/>
          <w:bCs w:val="0"/>
          <w:sz w:val="18"/>
          <w:szCs w:val="18"/>
        </w:rPr>
        <w:t xml:space="preserve">for controlled drug delivery of </w:t>
      </w:r>
      <w:proofErr w:type="spellStart"/>
      <w:r w:rsidRPr="00A91086">
        <w:rPr>
          <w:rFonts w:ascii="Tw Cen MT" w:eastAsia="Tw Cen MT" w:hAnsi="Tw Cen MT" w:cs="Tw Cen MT"/>
          <w:b w:val="0"/>
          <w:bCs w:val="0"/>
          <w:sz w:val="18"/>
          <w:szCs w:val="18"/>
        </w:rPr>
        <w:t>sorafenib</w:t>
      </w:r>
      <w:proofErr w:type="spellEnd"/>
      <w:r w:rsidRPr="00A91086">
        <w:rPr>
          <w:rFonts w:ascii="Tw Cen MT" w:eastAsia="Tw Cen MT" w:hAnsi="Tw Cen MT" w:cs="Tw Cen MT"/>
          <w:b w:val="0"/>
          <w:bCs w:val="0"/>
          <w:sz w:val="18"/>
          <w:szCs w:val="18"/>
        </w:rPr>
        <w:t xml:space="preserve"> </w:t>
      </w:r>
      <w:proofErr w:type="spellStart"/>
      <w:r w:rsidRPr="00A91086">
        <w:rPr>
          <w:rFonts w:ascii="Tw Cen MT" w:eastAsia="Tw Cen MT" w:hAnsi="Tw Cen MT" w:cs="Tw Cen MT"/>
          <w:b w:val="0"/>
          <w:bCs w:val="0"/>
          <w:sz w:val="18"/>
          <w:szCs w:val="18"/>
        </w:rPr>
        <w:t>tosylate</w:t>
      </w:r>
      <w:proofErr w:type="spellEnd"/>
      <w:r w:rsidRPr="00A91086">
        <w:rPr>
          <w:rFonts w:ascii="Tw Cen MT" w:eastAsia="Tw Cen MT" w:hAnsi="Tw Cen MT" w:cs="Tw Cen MT"/>
          <w:b w:val="0"/>
          <w:bCs w:val="0"/>
          <w:sz w:val="18"/>
          <w:szCs w:val="18"/>
        </w:rPr>
        <w:t xml:space="preserve"> to cancerous tissue. The optimum composition of </w:t>
      </w:r>
      <w:proofErr w:type="spellStart"/>
      <w:r w:rsidRPr="00A91086">
        <w:rPr>
          <w:rFonts w:ascii="Tw Cen MT" w:eastAsia="Tw Cen MT" w:hAnsi="Tw Cen MT" w:cs="Tw Cen MT"/>
          <w:b w:val="0"/>
          <w:bCs w:val="0"/>
          <w:sz w:val="18"/>
          <w:szCs w:val="18"/>
        </w:rPr>
        <w:t>tocosome</w:t>
      </w:r>
      <w:proofErr w:type="spellEnd"/>
      <w:r w:rsidRPr="00A91086">
        <w:rPr>
          <w:rFonts w:ascii="Tw Cen MT" w:eastAsia="Tw Cen MT" w:hAnsi="Tw Cen MT" w:cs="Tw Cen MT"/>
          <w:b w:val="0"/>
          <w:bCs w:val="0"/>
          <w:sz w:val="18"/>
          <w:szCs w:val="18"/>
        </w:rPr>
        <w:t xml:space="preserve"> was determined based on particle size and drug loading and then it was used to prepare the </w:t>
      </w:r>
      <w:proofErr w:type="spellStart"/>
      <w:r w:rsidRPr="00A91086">
        <w:rPr>
          <w:rFonts w:ascii="Tw Cen MT" w:eastAsia="Tw Cen MT" w:hAnsi="Tw Cen MT" w:cs="Tw Cen MT"/>
          <w:b w:val="0"/>
          <w:bCs w:val="0"/>
          <w:sz w:val="18"/>
          <w:szCs w:val="18"/>
        </w:rPr>
        <w:t>magnetotocosome</w:t>
      </w:r>
      <w:proofErr w:type="spellEnd"/>
      <w:r w:rsidRPr="00A91086">
        <w:rPr>
          <w:rFonts w:ascii="Tw Cen MT" w:eastAsia="Tw Cen MT" w:hAnsi="Tw Cen MT" w:cs="Tw Cen MT"/>
          <w:b w:val="0"/>
          <w:bCs w:val="0"/>
          <w:sz w:val="18"/>
          <w:szCs w:val="18"/>
        </w:rPr>
        <w:t xml:space="preserve">. In addition, the effect of phosphatidylcholine on the properties of </w:t>
      </w:r>
      <w:r w:rsidR="00CE6E90" w:rsidRPr="00A91086">
        <w:rPr>
          <w:rFonts w:ascii="Tw Cen MT" w:eastAsia="Tw Cen MT" w:hAnsi="Tw Cen MT" w:cs="Tw Cen MT"/>
          <w:b w:val="0"/>
          <w:bCs w:val="0"/>
          <w:sz w:val="18"/>
          <w:szCs w:val="18"/>
        </w:rPr>
        <w:t>superparamagnetic iron oxide (</w:t>
      </w:r>
      <w:r w:rsidRPr="00A91086">
        <w:rPr>
          <w:rFonts w:ascii="Tw Cen MT" w:eastAsia="Tw Cen MT" w:hAnsi="Tw Cen MT" w:cs="Tw Cen MT"/>
          <w:b w:val="0"/>
          <w:bCs w:val="0"/>
          <w:sz w:val="18"/>
          <w:szCs w:val="18"/>
        </w:rPr>
        <w:t>SPIO</w:t>
      </w:r>
      <w:r w:rsidR="00CE6E90" w:rsidRPr="00A91086">
        <w:rPr>
          <w:rFonts w:ascii="Tw Cen MT" w:eastAsia="Tw Cen MT" w:hAnsi="Tw Cen MT" w:cs="Tw Cen MT"/>
          <w:b w:val="0"/>
          <w:bCs w:val="0"/>
          <w:sz w:val="18"/>
          <w:szCs w:val="18"/>
        </w:rPr>
        <w:t xml:space="preserve">) </w:t>
      </w:r>
      <w:r w:rsidRPr="00A91086">
        <w:rPr>
          <w:rFonts w:ascii="Tw Cen MT" w:eastAsia="Tw Cen MT" w:hAnsi="Tw Cen MT" w:cs="Tw Cen MT"/>
          <w:b w:val="0"/>
          <w:bCs w:val="0"/>
          <w:sz w:val="18"/>
          <w:szCs w:val="18"/>
        </w:rPr>
        <w:t xml:space="preserve">nanoparticles was examined. The prepared </w:t>
      </w:r>
      <w:proofErr w:type="spellStart"/>
      <w:r w:rsidRPr="00A91086">
        <w:rPr>
          <w:rFonts w:ascii="Tw Cen MT" w:eastAsia="Tw Cen MT" w:hAnsi="Tw Cen MT" w:cs="Tw Cen MT"/>
          <w:b w:val="0"/>
          <w:bCs w:val="0"/>
          <w:sz w:val="18"/>
          <w:szCs w:val="18"/>
        </w:rPr>
        <w:t>nanocarrier</w:t>
      </w:r>
      <w:proofErr w:type="spellEnd"/>
      <w:r w:rsidRPr="00A91086">
        <w:rPr>
          <w:rFonts w:ascii="Tw Cen MT" w:eastAsia="Tw Cen MT" w:hAnsi="Tw Cen MT" w:cs="Tw Cen MT"/>
          <w:b w:val="0"/>
          <w:bCs w:val="0"/>
          <w:sz w:val="18"/>
          <w:szCs w:val="18"/>
        </w:rPr>
        <w:t xml:space="preserve"> can improve bioavailability of drug and be used in the hyperthermia and controlled and targeted release of drug particles. </w:t>
      </w:r>
    </w:p>
    <w:p w14:paraId="26890529" w14:textId="70680218" w:rsidR="00C41741" w:rsidRPr="00A91086" w:rsidRDefault="00A9710C" w:rsidP="006F3DBB">
      <w:pPr>
        <w:pStyle w:val="Heading3"/>
        <w:spacing w:before="74"/>
        <w:rPr>
          <w:rFonts w:ascii="Tw Cen MT" w:eastAsia="Tw Cen MT" w:hAnsi="Tw Cen MT" w:cs="Tw Cen MT"/>
          <w:b w:val="0"/>
          <w:bCs w:val="0"/>
          <w:sz w:val="18"/>
          <w:szCs w:val="18"/>
        </w:rPr>
      </w:pPr>
      <w:r w:rsidRPr="00A91086">
        <w:rPr>
          <w:rFonts w:ascii="Tw Cen MT" w:eastAsia="Tw Cen MT" w:hAnsi="Tw Cen MT" w:cs="Tw Cen MT"/>
          <w:b w:val="0"/>
          <w:bCs w:val="0"/>
          <w:sz w:val="18"/>
          <w:szCs w:val="18"/>
        </w:rPr>
        <w:br w:type="column"/>
      </w:r>
      <w:r w:rsidR="000A2EFD" w:rsidRPr="00A91086">
        <w:rPr>
          <w:rFonts w:ascii="Tw Cen MT" w:eastAsia="Tw Cen MT" w:hAnsi="Tw Cen MT" w:cs="Tw Cen MT"/>
          <w:b w:val="0"/>
          <w:bCs w:val="0"/>
          <w:noProof/>
          <w:sz w:val="18"/>
          <w:szCs w:val="18"/>
          <w:lang w:val="en-IN" w:eastAsia="en-IN"/>
        </w:rPr>
        <w:lastRenderedPageBreak/>
        <w:drawing>
          <wp:inline distT="0" distB="0" distL="0" distR="0" wp14:anchorId="6125529F" wp14:editId="6FDF79FF">
            <wp:extent cx="3162300" cy="1803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1803400"/>
                    </a:xfrm>
                    <a:prstGeom prst="rect">
                      <a:avLst/>
                    </a:prstGeom>
                    <a:noFill/>
                    <a:ln>
                      <a:noFill/>
                    </a:ln>
                  </pic:spPr>
                </pic:pic>
              </a:graphicData>
            </a:graphic>
          </wp:inline>
        </w:drawing>
      </w:r>
    </w:p>
    <w:p w14:paraId="1E3345B9" w14:textId="4FCDCED7" w:rsidR="008C769C" w:rsidRPr="00A91086" w:rsidRDefault="008C769C" w:rsidP="00865271">
      <w:pPr>
        <w:spacing w:line="204" w:lineRule="exact"/>
        <w:jc w:val="center"/>
        <w:rPr>
          <w:sz w:val="18"/>
          <w:szCs w:val="18"/>
        </w:rPr>
      </w:pPr>
    </w:p>
    <w:p w14:paraId="4B1E1128" w14:textId="5A76F1B1" w:rsidR="00334EAC" w:rsidRPr="00A91086" w:rsidRDefault="00C41741" w:rsidP="00A91086">
      <w:pPr>
        <w:autoSpaceDE w:val="0"/>
        <w:autoSpaceDN w:val="0"/>
        <w:adjustRightInd w:val="0"/>
        <w:spacing w:line="360" w:lineRule="auto"/>
        <w:jc w:val="center"/>
        <w:rPr>
          <w:sz w:val="18"/>
          <w:szCs w:val="18"/>
        </w:rPr>
      </w:pPr>
      <w:r w:rsidRPr="00CB4B47">
        <w:rPr>
          <w:b/>
          <w:bCs/>
          <w:sz w:val="18"/>
          <w:szCs w:val="18"/>
        </w:rPr>
        <w:t>Fig. 1.</w:t>
      </w:r>
      <w:r w:rsidRPr="00A91086">
        <w:rPr>
          <w:sz w:val="18"/>
          <w:szCs w:val="18"/>
        </w:rPr>
        <w:t xml:space="preserve"> Cumulated release profiles of SFB from designed drug delivery </w:t>
      </w:r>
      <w:r w:rsidR="00FB09BC" w:rsidRPr="00A91086">
        <w:rPr>
          <w:sz w:val="18"/>
          <w:szCs w:val="18"/>
        </w:rPr>
        <w:t>system at</w:t>
      </w:r>
      <w:r w:rsidR="00334EAC" w:rsidRPr="00A91086">
        <w:rPr>
          <w:sz w:val="18"/>
          <w:szCs w:val="18"/>
        </w:rPr>
        <w:t xml:space="preserve"> different times</w:t>
      </w:r>
    </w:p>
    <w:tbl>
      <w:tblPr>
        <w:tblStyle w:val="TableGrid"/>
        <w:tblpPr w:leftFromText="180" w:rightFromText="180" w:vertAnchor="text" w:horzAnchor="margin" w:tblpXSpec="right" w:tblpY="-32"/>
        <w:bidiVisual/>
        <w:tblW w:w="4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547"/>
      </w:tblGrid>
      <w:tr w:rsidR="000A2EFD" w:rsidRPr="00A91086" w14:paraId="0111DD2D" w14:textId="77777777" w:rsidTr="00A91086">
        <w:trPr>
          <w:trHeight w:val="2546"/>
        </w:trPr>
        <w:tc>
          <w:tcPr>
            <w:tcW w:w="2497" w:type="dxa"/>
          </w:tcPr>
          <w:p w14:paraId="4460C589" w14:textId="77777777" w:rsidR="000A2EFD" w:rsidRPr="00A91086" w:rsidRDefault="000A2EFD" w:rsidP="000A2EFD">
            <w:pPr>
              <w:ind w:left="75" w:hanging="75"/>
              <w:jc w:val="center"/>
              <w:rPr>
                <w:sz w:val="18"/>
                <w:szCs w:val="18"/>
                <w:lang w:bidi="ar-SA"/>
              </w:rPr>
            </w:pPr>
            <w:r w:rsidRPr="00A91086">
              <w:rPr>
                <w:rFonts w:hint="cs"/>
                <w:noProof/>
                <w:sz w:val="18"/>
                <w:szCs w:val="18"/>
                <w:lang w:val="en-IN" w:eastAsia="en-IN"/>
              </w:rPr>
              <w:drawing>
                <wp:inline distT="0" distB="0" distL="0" distR="0" wp14:anchorId="255EBBCD" wp14:editId="3E5760A5">
                  <wp:extent cx="1619250" cy="13906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or+tocosome1.tif"/>
                          <pic:cNvPicPr/>
                        </pic:nvPicPr>
                        <pic:blipFill>
                          <a:blip r:embed="rId10">
                            <a:extLst>
                              <a:ext uri="{28A0092B-C50C-407E-A947-70E740481C1C}">
                                <a14:useLocalDpi xmlns:a14="http://schemas.microsoft.com/office/drawing/2010/main" val="0"/>
                              </a:ext>
                            </a:extLst>
                          </a:blip>
                          <a:stretch>
                            <a:fillRect/>
                          </a:stretch>
                        </pic:blipFill>
                        <pic:spPr>
                          <a:xfrm>
                            <a:off x="0" y="0"/>
                            <a:ext cx="1636949" cy="1405850"/>
                          </a:xfrm>
                          <a:prstGeom prst="rect">
                            <a:avLst/>
                          </a:prstGeom>
                        </pic:spPr>
                      </pic:pic>
                    </a:graphicData>
                  </a:graphic>
                </wp:inline>
              </w:drawing>
            </w:r>
          </w:p>
          <w:p w14:paraId="06F02C61" w14:textId="77777777" w:rsidR="000A2EFD" w:rsidRPr="00A91086" w:rsidRDefault="000A2EFD" w:rsidP="000A2EFD">
            <w:pPr>
              <w:rPr>
                <w:sz w:val="18"/>
                <w:szCs w:val="18"/>
                <w:lang w:bidi="ar-SA"/>
              </w:rPr>
            </w:pPr>
            <w:r w:rsidRPr="00A91086">
              <w:rPr>
                <w:sz w:val="18"/>
                <w:szCs w:val="18"/>
                <w:lang w:bidi="ar-SA"/>
              </w:rPr>
              <w:t>(b)</w:t>
            </w:r>
          </w:p>
          <w:p w14:paraId="61344919" w14:textId="77777777" w:rsidR="0021222E" w:rsidRPr="00A91086" w:rsidRDefault="0021222E" w:rsidP="0021222E">
            <w:pPr>
              <w:spacing w:line="204" w:lineRule="exact"/>
              <w:ind w:left="75" w:hanging="75"/>
              <w:rPr>
                <w:sz w:val="18"/>
                <w:szCs w:val="18"/>
                <w:lang w:bidi="ar-SA"/>
              </w:rPr>
            </w:pPr>
            <w:r w:rsidRPr="00A91086">
              <w:rPr>
                <w:sz w:val="18"/>
                <w:szCs w:val="18"/>
                <w:lang w:bidi="ar-SA"/>
              </w:rPr>
              <w:t xml:space="preserve">and b. </w:t>
            </w:r>
            <w:proofErr w:type="spellStart"/>
            <w:r w:rsidRPr="00A91086">
              <w:rPr>
                <w:sz w:val="18"/>
                <w:szCs w:val="18"/>
                <w:lang w:bidi="ar-SA"/>
              </w:rPr>
              <w:t>Magnetotocosome</w:t>
            </w:r>
            <w:proofErr w:type="spellEnd"/>
            <w:r w:rsidRPr="00A91086">
              <w:rPr>
                <w:sz w:val="18"/>
                <w:szCs w:val="18"/>
                <w:lang w:bidi="ar-SA"/>
              </w:rPr>
              <w:t xml:space="preserve"> suspension.</w:t>
            </w:r>
          </w:p>
          <w:p w14:paraId="4F86F767" w14:textId="2AB899C7" w:rsidR="0021222E" w:rsidRPr="00A91086" w:rsidRDefault="0021222E" w:rsidP="000A2EFD">
            <w:pPr>
              <w:rPr>
                <w:sz w:val="18"/>
                <w:szCs w:val="18"/>
                <w:lang w:bidi="ar-SA"/>
              </w:rPr>
            </w:pPr>
          </w:p>
        </w:tc>
        <w:tc>
          <w:tcPr>
            <w:tcW w:w="2397" w:type="dxa"/>
          </w:tcPr>
          <w:p w14:paraId="07E4AE5D" w14:textId="77777777" w:rsidR="000A2EFD" w:rsidRPr="00A91086" w:rsidRDefault="000A2EFD" w:rsidP="000A2EFD">
            <w:pPr>
              <w:jc w:val="center"/>
              <w:rPr>
                <w:sz w:val="18"/>
                <w:szCs w:val="18"/>
                <w:rtl/>
                <w:lang w:bidi="ar-SA"/>
              </w:rPr>
            </w:pPr>
            <w:r w:rsidRPr="00A91086">
              <w:rPr>
                <w:rFonts w:hint="cs"/>
                <w:noProof/>
                <w:sz w:val="18"/>
                <w:szCs w:val="18"/>
                <w:rtl/>
                <w:lang w:val="en-IN" w:eastAsia="en-IN"/>
              </w:rPr>
              <w:drawing>
                <wp:inline distT="0" distB="0" distL="0" distR="0" wp14:anchorId="39236F9F" wp14:editId="1F7E0878">
                  <wp:extent cx="1548765" cy="13779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orafenib.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8011" cy="1430662"/>
                          </a:xfrm>
                          <a:prstGeom prst="rect">
                            <a:avLst/>
                          </a:prstGeom>
                        </pic:spPr>
                      </pic:pic>
                    </a:graphicData>
                  </a:graphic>
                </wp:inline>
              </w:drawing>
            </w:r>
          </w:p>
          <w:p w14:paraId="6B01E59F" w14:textId="77777777" w:rsidR="000A2EFD" w:rsidRPr="00A91086" w:rsidRDefault="000A2EFD" w:rsidP="0021222E">
            <w:pPr>
              <w:rPr>
                <w:sz w:val="18"/>
                <w:szCs w:val="18"/>
                <w:lang w:bidi="ar-SA"/>
              </w:rPr>
            </w:pPr>
            <w:r w:rsidRPr="00A91086">
              <w:rPr>
                <w:sz w:val="18"/>
                <w:szCs w:val="18"/>
                <w:lang w:bidi="ar-SA"/>
              </w:rPr>
              <w:t>(a)</w:t>
            </w:r>
          </w:p>
          <w:p w14:paraId="355E633D" w14:textId="03C6B260" w:rsidR="000A2EFD" w:rsidRPr="00A91086" w:rsidRDefault="000A2EFD" w:rsidP="0021222E">
            <w:pPr>
              <w:spacing w:line="204" w:lineRule="exact"/>
              <w:ind w:left="75" w:hanging="75"/>
              <w:rPr>
                <w:sz w:val="18"/>
                <w:szCs w:val="18"/>
                <w:rtl/>
                <w:lang w:bidi="ar-SA"/>
              </w:rPr>
            </w:pPr>
            <w:r w:rsidRPr="00CB4B47">
              <w:rPr>
                <w:b/>
                <w:bCs/>
                <w:sz w:val="18"/>
                <w:szCs w:val="18"/>
                <w:lang w:bidi="ar-SA"/>
              </w:rPr>
              <w:t>Fig. 2.</w:t>
            </w:r>
            <w:r w:rsidRPr="00A91086">
              <w:rPr>
                <w:sz w:val="18"/>
                <w:szCs w:val="18"/>
                <w:lang w:bidi="ar-SA"/>
              </w:rPr>
              <w:t xml:space="preserve"> FE-SEM images of a.</w:t>
            </w:r>
            <w:r w:rsidR="00334EAC" w:rsidRPr="00A91086">
              <w:rPr>
                <w:sz w:val="18"/>
                <w:szCs w:val="18"/>
                <w:lang w:bidi="ar-SA"/>
              </w:rPr>
              <w:t xml:space="preserve"> original SFB </w:t>
            </w:r>
          </w:p>
        </w:tc>
      </w:tr>
    </w:tbl>
    <w:p w14:paraId="529255DB" w14:textId="77777777" w:rsidR="00A91086" w:rsidRDefault="00A91086" w:rsidP="000A2EFD">
      <w:pPr>
        <w:pStyle w:val="EndNoteBibliography"/>
        <w:bidi w:val="0"/>
        <w:spacing w:after="0"/>
        <w:ind w:left="720" w:hanging="720"/>
        <w:rPr>
          <w:rFonts w:ascii="Tw Cen MT" w:eastAsia="Tw Cen MT" w:hAnsi="Tw Cen MT" w:cs="Tw Cen MT"/>
          <w:noProof w:val="0"/>
          <w:sz w:val="18"/>
          <w:szCs w:val="18"/>
          <w:lang w:bidi="ar-SA"/>
        </w:rPr>
      </w:pPr>
    </w:p>
    <w:p w14:paraId="3DE81494" w14:textId="77777777" w:rsidR="00A91086" w:rsidRPr="00EA2764" w:rsidRDefault="00A91086" w:rsidP="00A91086">
      <w:pPr>
        <w:pStyle w:val="Heading3"/>
        <w:ind w:left="0"/>
        <w:rPr>
          <w:color w:val="BF5A14"/>
        </w:rPr>
      </w:pPr>
      <w:r>
        <w:rPr>
          <w:color w:val="BF5A14"/>
        </w:rPr>
        <w:t>Recent Publications</w:t>
      </w:r>
    </w:p>
    <w:p w14:paraId="70BC251F" w14:textId="0D1C5B50" w:rsidR="005F4C4C" w:rsidRPr="00A91086" w:rsidRDefault="005F4C4C" w:rsidP="00A91086">
      <w:pPr>
        <w:pStyle w:val="EndNoteBibliography"/>
        <w:bidi w:val="0"/>
        <w:spacing w:after="0"/>
        <w:ind w:left="720" w:hanging="720"/>
        <w:jc w:val="both"/>
        <w:rPr>
          <w:rFonts w:ascii="Tw Cen MT" w:eastAsia="Tw Cen MT" w:hAnsi="Tw Cen MT" w:cs="Tw Cen MT"/>
          <w:noProof w:val="0"/>
          <w:sz w:val="18"/>
          <w:szCs w:val="18"/>
          <w:lang w:bidi="ar-SA"/>
        </w:rPr>
      </w:pPr>
      <w:proofErr w:type="spellStart"/>
      <w:r w:rsidRPr="00A91086">
        <w:rPr>
          <w:rFonts w:ascii="Tw Cen MT" w:eastAsia="Tw Cen MT" w:hAnsi="Tw Cen MT" w:cs="Tw Cen MT"/>
          <w:noProof w:val="0"/>
          <w:sz w:val="18"/>
          <w:szCs w:val="18"/>
          <w:lang w:bidi="ar-SA"/>
        </w:rPr>
        <w:t>Monajati</w:t>
      </w:r>
      <w:proofErr w:type="spellEnd"/>
      <w:r w:rsidRPr="00A91086">
        <w:rPr>
          <w:rFonts w:ascii="Tw Cen MT" w:eastAsia="Tw Cen MT" w:hAnsi="Tw Cen MT" w:cs="Tw Cen MT"/>
          <w:noProof w:val="0"/>
          <w:sz w:val="18"/>
          <w:szCs w:val="18"/>
          <w:lang w:bidi="ar-SA"/>
        </w:rPr>
        <w:t>, M., Tavakoli, S., Abolmaali, S. S., Yousefi, G. &amp; Tamaddon, A. Effect of PEGylation on assembly morphology and cellular uptake of poly ethyleneimine-cholesterol conjugates for delivery of sorafenib tosylate in hepatocellular carcinoma. BioImpacts: BI 8, 241 (2018).</w:t>
      </w:r>
    </w:p>
    <w:p w14:paraId="12D95E88" w14:textId="77777777" w:rsidR="005F4C4C" w:rsidRPr="00A91086" w:rsidRDefault="005F4C4C" w:rsidP="00A91086">
      <w:pPr>
        <w:pStyle w:val="EndNoteBibliography"/>
        <w:bidi w:val="0"/>
        <w:spacing w:after="0"/>
        <w:ind w:left="720" w:hanging="720"/>
        <w:jc w:val="both"/>
        <w:rPr>
          <w:rFonts w:ascii="Tw Cen MT" w:eastAsia="Tw Cen MT" w:hAnsi="Tw Cen MT" w:cs="Tw Cen MT"/>
          <w:noProof w:val="0"/>
          <w:sz w:val="18"/>
          <w:szCs w:val="18"/>
          <w:lang w:bidi="ar-SA"/>
        </w:rPr>
      </w:pPr>
      <w:r w:rsidRPr="00A91086">
        <w:rPr>
          <w:rFonts w:ascii="Tw Cen MT" w:eastAsia="Tw Cen MT" w:hAnsi="Tw Cen MT" w:cs="Tw Cen MT"/>
          <w:noProof w:val="0"/>
          <w:sz w:val="18"/>
          <w:szCs w:val="18"/>
          <w:lang w:bidi="ar-SA"/>
        </w:rPr>
        <w:t>Sodeifian, G., Razmimanesh, F., Sajadian, S. A. &amp; Hazaveie, S. M. Experimental data and thermodynamic modeling of solubility of Sorafenib tosylate, as an anti-cancer drug, in supercritical carbon dioxide: Evaluation of Wong-Sandler mixing rule. The Journal of Chemical Thermodynamics 142, 105998 (2020).</w:t>
      </w:r>
    </w:p>
    <w:p w14:paraId="380C4EAA" w14:textId="77777777" w:rsidR="005F4C4C" w:rsidRPr="00A91086" w:rsidRDefault="005F4C4C" w:rsidP="00A91086">
      <w:pPr>
        <w:pStyle w:val="EndNoteBibliography"/>
        <w:bidi w:val="0"/>
        <w:spacing w:after="0"/>
        <w:ind w:left="720" w:hanging="720"/>
        <w:jc w:val="both"/>
        <w:rPr>
          <w:rFonts w:ascii="Tw Cen MT" w:eastAsia="Tw Cen MT" w:hAnsi="Tw Cen MT" w:cs="Tw Cen MT"/>
          <w:noProof w:val="0"/>
          <w:sz w:val="18"/>
          <w:szCs w:val="18"/>
          <w:lang w:bidi="ar-SA"/>
        </w:rPr>
      </w:pPr>
      <w:r w:rsidRPr="00A91086">
        <w:rPr>
          <w:rFonts w:ascii="Tw Cen MT" w:eastAsia="Tw Cen MT" w:hAnsi="Tw Cen MT" w:cs="Tw Cen MT"/>
          <w:noProof w:val="0"/>
          <w:sz w:val="18"/>
          <w:szCs w:val="18"/>
          <w:lang w:bidi="ar-SA"/>
        </w:rPr>
        <w:t>Mozafari, M., Javanmard, R. &amp; Raji, M. Tocosome: Novel drug delivery system containing phospholipids and tocopheryl phosphates. International journal of pharmaceutics 528, 381-382 (2017).</w:t>
      </w:r>
    </w:p>
    <w:p w14:paraId="4B329FA2" w14:textId="1BAF06F4" w:rsidR="005F4C4C" w:rsidRPr="00A91086" w:rsidRDefault="005F4C4C" w:rsidP="00A91086">
      <w:pPr>
        <w:pStyle w:val="EndNoteBibliography"/>
        <w:bidi w:val="0"/>
        <w:spacing w:after="0"/>
        <w:ind w:left="720" w:hanging="720"/>
        <w:jc w:val="both"/>
        <w:rPr>
          <w:rFonts w:ascii="Tw Cen MT" w:eastAsia="Tw Cen MT" w:hAnsi="Tw Cen MT" w:cs="Tw Cen MT"/>
          <w:noProof w:val="0"/>
          <w:sz w:val="18"/>
          <w:szCs w:val="18"/>
          <w:lang w:bidi="ar-SA"/>
        </w:rPr>
      </w:pPr>
      <w:r w:rsidRPr="00A91086">
        <w:rPr>
          <w:rFonts w:ascii="Tw Cen MT" w:eastAsia="Tw Cen MT" w:hAnsi="Tw Cen MT" w:cs="Tw Cen MT"/>
          <w:noProof w:val="0"/>
          <w:sz w:val="18"/>
          <w:szCs w:val="18"/>
          <w:lang w:bidi="ar-SA"/>
        </w:rPr>
        <w:t>Klemetsrud, T., Kjøniksen, A.-L., Hiorth, M., Jacobsen, J. &amp; Smistad, G. Polymer coated liposomes for use in the oral cavity–a study of the in vitro toxicity, effect on cell permeability and interaction with mucin. Journal of liposome research 28, 62-73 (2018).</w:t>
      </w:r>
    </w:p>
    <w:p w14:paraId="066B05D3" w14:textId="28CDCEFB" w:rsidR="00AE3E37" w:rsidRPr="00A91086" w:rsidRDefault="005F4C4C" w:rsidP="00A91086">
      <w:pPr>
        <w:pStyle w:val="EndNoteBibliography"/>
        <w:bidi w:val="0"/>
        <w:spacing w:after="0"/>
        <w:ind w:left="720" w:hanging="720"/>
        <w:jc w:val="both"/>
        <w:rPr>
          <w:rFonts w:ascii="Tw Cen MT" w:eastAsia="Tw Cen MT" w:hAnsi="Tw Cen MT" w:cs="Tw Cen MT"/>
          <w:noProof w:val="0"/>
          <w:sz w:val="18"/>
          <w:szCs w:val="18"/>
          <w:lang w:bidi="ar-SA"/>
        </w:rPr>
        <w:sectPr w:rsidR="00AE3E37" w:rsidRPr="00A91086" w:rsidSect="008E5477">
          <w:type w:val="continuous"/>
          <w:pgSz w:w="11910" w:h="16840"/>
          <w:pgMar w:top="995" w:right="600" w:bottom="840" w:left="620" w:header="720" w:footer="720" w:gutter="0"/>
          <w:cols w:num="2" w:space="720" w:equalWidth="0">
            <w:col w:w="5214" w:space="138"/>
            <w:col w:w="5338"/>
          </w:cols>
        </w:sectPr>
      </w:pPr>
      <w:proofErr w:type="spellStart"/>
      <w:r w:rsidRPr="00A91086">
        <w:rPr>
          <w:rFonts w:ascii="Tw Cen MT" w:eastAsia="Tw Cen MT" w:hAnsi="Tw Cen MT" w:cs="Tw Cen MT"/>
          <w:noProof w:val="0"/>
          <w:sz w:val="18"/>
          <w:szCs w:val="18"/>
          <w:lang w:bidi="ar-SA"/>
        </w:rPr>
        <w:t>ElMeshad</w:t>
      </w:r>
      <w:proofErr w:type="spellEnd"/>
      <w:r w:rsidRPr="00A91086">
        <w:rPr>
          <w:rFonts w:ascii="Tw Cen MT" w:eastAsia="Tw Cen MT" w:hAnsi="Tw Cen MT" w:cs="Tw Cen MT"/>
          <w:noProof w:val="0"/>
          <w:sz w:val="18"/>
          <w:szCs w:val="18"/>
          <w:lang w:bidi="ar-SA"/>
        </w:rPr>
        <w:t>, A. N., Mortazavi, S. &amp; Mozafari, M. R. Formulation and characterization of nanoliposomal 5-fluorouracil for cancer nanotherapy. Journal of liposome research 24, 1-9 (2014).</w:t>
      </w:r>
      <w:r w:rsidR="008756E6" w:rsidRPr="00A91086">
        <w:rPr>
          <w:rFonts w:ascii="Tw Cen MT" w:eastAsia="Tw Cen MT" w:hAnsi="Tw Cen MT" w:cs="Tw Cen MT"/>
          <w:noProof w:val="0"/>
          <w:sz w:val="18"/>
          <w:szCs w:val="18"/>
          <w:lang w:bidi="ar-SA"/>
        </w:rPr>
        <w:t xml:space="preserve">  </w:t>
      </w:r>
    </w:p>
    <w:p w14:paraId="5662D6E9" w14:textId="19E5BC0E" w:rsidR="00AE3E37" w:rsidRDefault="00292ED9">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14:anchorId="7778F2D2" wp14:editId="5CBBEA2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19B38E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2E290F23" w:rsidR="00AE3E37" w:rsidRDefault="004112D2" w:rsidP="00A91086">
      <w:pPr>
        <w:spacing w:before="92"/>
        <w:ind w:left="-284" w:right="342"/>
        <w:rPr>
          <w:rFonts w:ascii="Arial"/>
        </w:rPr>
      </w:pPr>
      <w:r>
        <w:rPr>
          <w:b/>
          <w:noProof/>
          <w:color w:val="0000FF"/>
          <w:lang w:val="en-IN" w:eastAsia="en-IN"/>
        </w:rPr>
        <w:drawing>
          <wp:anchor distT="0" distB="0" distL="114300" distR="114300" simplePos="0" relativeHeight="251661312" behindDoc="0" locked="0" layoutInCell="1" allowOverlap="1" wp14:anchorId="28C92AA3" wp14:editId="0F6444E4">
            <wp:simplePos x="0" y="0"/>
            <wp:positionH relativeFrom="margin">
              <wp:posOffset>4559300</wp:posOffset>
            </wp:positionH>
            <wp:positionV relativeFrom="margin">
              <wp:posOffset>259715</wp:posOffset>
            </wp:positionV>
            <wp:extent cx="672465" cy="4953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MDANUn.tif"/>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72465" cy="49530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00AE34C2">
        <w:rPr>
          <w:noProof/>
        </w:rPr>
        <w:t xml:space="preserve">          </w:t>
      </w:r>
      <w:r w:rsidR="00A91086">
        <w:rPr>
          <w:rFonts w:asciiTheme="majorBidi" w:hAnsiTheme="majorBidi" w:cstheme="majorBidi"/>
          <w:b/>
          <w:bCs/>
          <w:noProof/>
          <w:lang w:val="en-IN" w:eastAsia="en-IN"/>
        </w:rPr>
        <w:drawing>
          <wp:inline distT="0" distB="0" distL="0" distR="0" wp14:anchorId="4F652E91" wp14:editId="7F28B1F9">
            <wp:extent cx="590550" cy="673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پروفسور غلامحسین صدیفیان-پنجم-تیرماه-14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0918" cy="673519"/>
                    </a:xfrm>
                    <a:prstGeom prst="rect">
                      <a:avLst/>
                    </a:prstGeom>
                  </pic:spPr>
                </pic:pic>
              </a:graphicData>
            </a:graphic>
          </wp:inline>
        </w:drawing>
      </w:r>
      <w:r w:rsidR="00AE34C2">
        <w:rPr>
          <w:noProof/>
        </w:rPr>
        <w:t xml:space="preserve">                     </w:t>
      </w:r>
      <w:r w:rsidR="008756E6">
        <w:rPr>
          <w:noProof/>
        </w:rPr>
        <w:t xml:space="preserve">       </w:t>
      </w:r>
      <w:r w:rsidR="00D370B1">
        <w:rPr>
          <w:noProof/>
        </w:rPr>
        <w:t xml:space="preserve">                   </w:t>
      </w:r>
      <w:r w:rsidR="00AE34C2">
        <w:rPr>
          <w:noProof/>
        </w:rPr>
        <w:t xml:space="preserve">                                                        </w:t>
      </w:r>
      <w:r w:rsidR="008756E6">
        <w:rPr>
          <w:noProof/>
        </w:rPr>
        <w:t xml:space="preserve">    </w:t>
      </w:r>
      <w:r w:rsidR="00AE34C2">
        <w:rPr>
          <w:rFonts w:ascii="Arial"/>
        </w:rPr>
        <w:t xml:space="preserve">    </w:t>
      </w:r>
    </w:p>
    <w:p w14:paraId="7365FFED" w14:textId="23E2CD67" w:rsidR="00334EAC" w:rsidRPr="00334EAC" w:rsidRDefault="00334EAC" w:rsidP="00334EAC">
      <w:pPr>
        <w:spacing w:before="41" w:line="154" w:lineRule="exact"/>
        <w:ind w:left="213" w:right="231"/>
        <w:jc w:val="both"/>
        <w:rPr>
          <w:rFonts w:ascii="Arial"/>
          <w:sz w:val="14"/>
        </w:rPr>
      </w:pPr>
      <w:r w:rsidRPr="00334EAC">
        <w:rPr>
          <w:rFonts w:ascii="Arial"/>
          <w:sz w:val="14"/>
        </w:rPr>
        <w:t xml:space="preserve">Prof. Dr. </w:t>
      </w:r>
      <w:proofErr w:type="spellStart"/>
      <w:r w:rsidRPr="00334EAC">
        <w:rPr>
          <w:rFonts w:ascii="Arial"/>
          <w:sz w:val="14"/>
        </w:rPr>
        <w:t>Gholamhossein</w:t>
      </w:r>
      <w:proofErr w:type="spellEnd"/>
      <w:r w:rsidRPr="00334EAC">
        <w:rPr>
          <w:rFonts w:ascii="Arial"/>
          <w:sz w:val="14"/>
        </w:rPr>
        <w:t xml:space="preserve"> </w:t>
      </w:r>
      <w:proofErr w:type="spellStart"/>
      <w:r w:rsidRPr="00334EAC">
        <w:rPr>
          <w:rFonts w:ascii="Arial"/>
          <w:sz w:val="14"/>
        </w:rPr>
        <w:t>Sodeifian</w:t>
      </w:r>
      <w:proofErr w:type="spellEnd"/>
      <w:r w:rsidRPr="00334EAC">
        <w:rPr>
          <w:rFonts w:ascii="Arial"/>
          <w:sz w:val="14"/>
        </w:rPr>
        <w:t xml:space="preserve"> (1971) graduated in chemical engineering (M.S) from University of Tehran, in 1997 and received his doctorate (</w:t>
      </w:r>
      <w:proofErr w:type="spellStart"/>
      <w:r w:rsidRPr="00334EAC">
        <w:rPr>
          <w:rFonts w:ascii="Arial"/>
          <w:sz w:val="14"/>
        </w:rPr>
        <w:t>Ph.D</w:t>
      </w:r>
      <w:proofErr w:type="spellEnd"/>
      <w:r w:rsidRPr="00334EAC">
        <w:rPr>
          <w:rFonts w:ascii="Arial"/>
          <w:sz w:val="14"/>
        </w:rPr>
        <w:t xml:space="preserve">), in polymer engineering from </w:t>
      </w:r>
      <w:proofErr w:type="spellStart"/>
      <w:r w:rsidRPr="00334EAC">
        <w:rPr>
          <w:rFonts w:ascii="Arial"/>
          <w:sz w:val="14"/>
        </w:rPr>
        <w:t>Tarbiat</w:t>
      </w:r>
      <w:proofErr w:type="spellEnd"/>
      <w:r w:rsidRPr="00334EAC">
        <w:rPr>
          <w:rFonts w:ascii="Arial"/>
          <w:sz w:val="14"/>
        </w:rPr>
        <w:t xml:space="preserve"> </w:t>
      </w:r>
      <w:proofErr w:type="spellStart"/>
      <w:r w:rsidRPr="00334EAC">
        <w:rPr>
          <w:rFonts w:ascii="Arial"/>
          <w:sz w:val="14"/>
        </w:rPr>
        <w:t>Modares</w:t>
      </w:r>
      <w:proofErr w:type="spellEnd"/>
      <w:r w:rsidRPr="00334EAC">
        <w:rPr>
          <w:rFonts w:ascii="Arial"/>
          <w:sz w:val="14"/>
        </w:rPr>
        <w:t xml:space="preserve"> University, Tehran, in 2002. Prof. Sodeifian is currently academic member of Chemical Engineering Department of University of Kashan. His research group focused on extraction of essential and seed oils, solubility measurement of solid medicines, and micro- and nanoparticle formation of pharmaceutical materials in supercritical carbon dioxide (SCCO</w:t>
      </w:r>
      <w:r w:rsidRPr="00334EAC">
        <w:rPr>
          <w:rFonts w:ascii="Arial"/>
          <w:sz w:val="14"/>
          <w:vertAlign w:val="subscript"/>
        </w:rPr>
        <w:t>2</w:t>
      </w:r>
      <w:r w:rsidRPr="00334EAC">
        <w:rPr>
          <w:rFonts w:ascii="Arial"/>
          <w:sz w:val="14"/>
        </w:rPr>
        <w:t xml:space="preserve">) via various methods. He has also developed, for the first time in the world, a new and efficient technique for nanoparticle formation, i.e., </w:t>
      </w:r>
      <w:r w:rsidRPr="00334EAC">
        <w:rPr>
          <w:rFonts w:ascii="Arial"/>
          <w:i/>
          <w:iCs/>
          <w:sz w:val="14"/>
        </w:rPr>
        <w:t>ultrasonic assisted rapid expansion of supercritical solution into a liquid solvent (US-RESOLV)</w:t>
      </w:r>
      <w:r w:rsidRPr="00334EAC">
        <w:rPr>
          <w:rFonts w:ascii="Arial"/>
          <w:sz w:val="14"/>
        </w:rPr>
        <w:t xml:space="preserve">. He has published more than 83 ISI scientific papers and several books. Furthermore, he has developed </w:t>
      </w:r>
      <w:proofErr w:type="spellStart"/>
      <w:r w:rsidRPr="00334EAC">
        <w:rPr>
          <w:rFonts w:ascii="Arial"/>
          <w:sz w:val="14"/>
        </w:rPr>
        <w:t>Sodeifian</w:t>
      </w:r>
      <w:r w:rsidRPr="00334EAC">
        <w:rPr>
          <w:rFonts w:ascii="Arial"/>
          <w:sz w:val="14"/>
        </w:rPr>
        <w:t>’</w:t>
      </w:r>
      <w:r w:rsidRPr="00334EAC">
        <w:rPr>
          <w:rFonts w:ascii="Arial"/>
          <w:sz w:val="14"/>
        </w:rPr>
        <w:t>s</w:t>
      </w:r>
      <w:proofErr w:type="spellEnd"/>
      <w:r w:rsidRPr="00334EAC">
        <w:rPr>
          <w:rFonts w:ascii="Arial"/>
          <w:sz w:val="14"/>
        </w:rPr>
        <w:t xml:space="preserve"> model for drugs solubility. Prof. Sodeifian has been assigned and included in the worlds</w:t>
      </w:r>
      <w:r w:rsidRPr="00334EAC">
        <w:rPr>
          <w:rFonts w:ascii="Arial"/>
          <w:sz w:val="14"/>
        </w:rPr>
        <w:t>’</w:t>
      </w:r>
      <w:r w:rsidRPr="00334EAC">
        <w:rPr>
          <w:rFonts w:ascii="Arial"/>
          <w:sz w:val="14"/>
        </w:rPr>
        <w:t xml:space="preserve"> top 2% of scientists list in 2021 and 2022.</w:t>
      </w:r>
    </w:p>
    <w:p w14:paraId="554A2D84" w14:textId="04A346FA" w:rsidR="00334EAC" w:rsidRPr="00552EC8" w:rsidRDefault="00552EC8" w:rsidP="00552EC8">
      <w:pPr>
        <w:spacing w:before="62"/>
        <w:ind w:right="4235"/>
        <w:rPr>
          <w:color w:val="0000FF" w:themeColor="hyperlink"/>
          <w:u w:val="single"/>
        </w:rPr>
      </w:pPr>
      <w:r>
        <w:rPr>
          <w:rFonts w:ascii="Arial"/>
          <w:sz w:val="14"/>
        </w:rPr>
        <w:t xml:space="preserve">   </w:t>
      </w:r>
      <w:r w:rsidRPr="00552EC8">
        <w:rPr>
          <w:rFonts w:ascii="Arial"/>
        </w:rPr>
        <w:t xml:space="preserve">  </w:t>
      </w:r>
      <w:r w:rsidR="00334EAC" w:rsidRPr="00552EC8">
        <w:rPr>
          <w:rFonts w:ascii="Arial"/>
        </w:rPr>
        <w:t xml:space="preserve">Email: </w:t>
      </w:r>
      <w:r w:rsidR="00334EAC" w:rsidRPr="00552EC8">
        <w:rPr>
          <w:rFonts w:asciiTheme="minorBidi" w:hAnsiTheme="minorBidi" w:cstheme="minorBidi"/>
          <w:color w:val="0000FF" w:themeColor="hyperlink"/>
          <w:u w:val="single"/>
        </w:rPr>
        <w:t>sodeifian@kashanu.ac.ir</w:t>
      </w:r>
    </w:p>
    <w:p w14:paraId="52A1F914" w14:textId="2ADD6662" w:rsidR="0021222E" w:rsidRDefault="0021222E" w:rsidP="00AF5AE2">
      <w:pPr>
        <w:rPr>
          <w:rFonts w:ascii="Arial" w:hAnsi="Arial" w:cs="Arial"/>
          <w:b/>
          <w:bCs/>
          <w:color w:val="0070C0"/>
          <w:sz w:val="14"/>
          <w:szCs w:val="14"/>
        </w:rPr>
      </w:pPr>
    </w:p>
    <w:p w14:paraId="0AAD8995" w14:textId="6656E302" w:rsidR="004112D2" w:rsidRDefault="0021222E" w:rsidP="00AF5AE2">
      <w:pPr>
        <w:rPr>
          <w:rFonts w:ascii="Minion Pro"/>
          <w:sz w:val="24"/>
        </w:rPr>
      </w:pPr>
      <w:r>
        <w:rPr>
          <w:noProof/>
          <w:lang w:val="en-IN" w:eastAsia="en-IN"/>
        </w:rPr>
        <mc:AlternateContent>
          <mc:Choice Requires="wps">
            <w:drawing>
              <wp:anchor distT="0" distB="0" distL="0" distR="0" simplePos="0" relativeHeight="251659264" behindDoc="0" locked="0" layoutInCell="1" allowOverlap="1" wp14:anchorId="625B5BD2" wp14:editId="65DE834B">
                <wp:simplePos x="0" y="0"/>
                <wp:positionH relativeFrom="page">
                  <wp:posOffset>393700</wp:posOffset>
                </wp:positionH>
                <wp:positionV relativeFrom="paragraph">
                  <wp:posOffset>5715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FC9D955"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pt,.45pt" to="302.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" strokecolor="#004080" strokeweight=".5pt">
                <w10:wrap type="topAndBottom" anchorx="page"/>
              </v:line>
            </w:pict>
          </mc:Fallback>
        </mc:AlternateConten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2487B1" w14:textId="77777777" w:rsidR="005943E4" w:rsidRDefault="005943E4">
      <w:r>
        <w:separator/>
      </w:r>
    </w:p>
  </w:endnote>
  <w:endnote w:type="continuationSeparator" w:id="0">
    <w:p w14:paraId="4EF3AD07" w14:textId="77777777" w:rsidR="005943E4" w:rsidRDefault="00594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54C86F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2B5B49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F2AABD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5ECB97" w14:textId="77777777" w:rsidR="005943E4" w:rsidRDefault="005943E4">
      <w:r>
        <w:separator/>
      </w:r>
    </w:p>
  </w:footnote>
  <w:footnote w:type="continuationSeparator" w:id="0">
    <w:p w14:paraId="5BC04D50" w14:textId="77777777" w:rsidR="005943E4" w:rsidRDefault="00594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85C"/>
    <w:rsid w:val="00084CFF"/>
    <w:rsid w:val="000A2EFD"/>
    <w:rsid w:val="000E2911"/>
    <w:rsid w:val="001263DF"/>
    <w:rsid w:val="0015116A"/>
    <w:rsid w:val="001641DF"/>
    <w:rsid w:val="00181D4F"/>
    <w:rsid w:val="001F3645"/>
    <w:rsid w:val="0021222E"/>
    <w:rsid w:val="00217694"/>
    <w:rsid w:val="00266641"/>
    <w:rsid w:val="00292ED9"/>
    <w:rsid w:val="00334EAC"/>
    <w:rsid w:val="0033537F"/>
    <w:rsid w:val="00351D9B"/>
    <w:rsid w:val="00352A5E"/>
    <w:rsid w:val="00380299"/>
    <w:rsid w:val="003B6E9A"/>
    <w:rsid w:val="00404E5B"/>
    <w:rsid w:val="004112D2"/>
    <w:rsid w:val="00414D6E"/>
    <w:rsid w:val="00414F7B"/>
    <w:rsid w:val="00421502"/>
    <w:rsid w:val="0042422D"/>
    <w:rsid w:val="004355DC"/>
    <w:rsid w:val="004749B4"/>
    <w:rsid w:val="00494130"/>
    <w:rsid w:val="004B1109"/>
    <w:rsid w:val="004F3523"/>
    <w:rsid w:val="00551E7D"/>
    <w:rsid w:val="00552EC8"/>
    <w:rsid w:val="00583CF4"/>
    <w:rsid w:val="005943E4"/>
    <w:rsid w:val="005973B9"/>
    <w:rsid w:val="005B3A56"/>
    <w:rsid w:val="005F4C4C"/>
    <w:rsid w:val="005F581E"/>
    <w:rsid w:val="006060CE"/>
    <w:rsid w:val="0061505C"/>
    <w:rsid w:val="00630D60"/>
    <w:rsid w:val="0063497F"/>
    <w:rsid w:val="006F3DBB"/>
    <w:rsid w:val="006F7018"/>
    <w:rsid w:val="00714354"/>
    <w:rsid w:val="00745DD8"/>
    <w:rsid w:val="007763C9"/>
    <w:rsid w:val="007A15E1"/>
    <w:rsid w:val="00862150"/>
    <w:rsid w:val="00865271"/>
    <w:rsid w:val="00873DF0"/>
    <w:rsid w:val="008756E6"/>
    <w:rsid w:val="00896751"/>
    <w:rsid w:val="00897EC5"/>
    <w:rsid w:val="008C769C"/>
    <w:rsid w:val="008E5477"/>
    <w:rsid w:val="00982315"/>
    <w:rsid w:val="009A259E"/>
    <w:rsid w:val="009B2D44"/>
    <w:rsid w:val="009C531E"/>
    <w:rsid w:val="00A07E82"/>
    <w:rsid w:val="00A450D9"/>
    <w:rsid w:val="00A52075"/>
    <w:rsid w:val="00A868BD"/>
    <w:rsid w:val="00A91086"/>
    <w:rsid w:val="00A9710C"/>
    <w:rsid w:val="00AE34C2"/>
    <w:rsid w:val="00AE3E37"/>
    <w:rsid w:val="00AF5AE2"/>
    <w:rsid w:val="00B020A1"/>
    <w:rsid w:val="00B21A57"/>
    <w:rsid w:val="00B309CA"/>
    <w:rsid w:val="00B31FC9"/>
    <w:rsid w:val="00B33726"/>
    <w:rsid w:val="00BD71D2"/>
    <w:rsid w:val="00C33602"/>
    <w:rsid w:val="00C4034E"/>
    <w:rsid w:val="00C41741"/>
    <w:rsid w:val="00C56C74"/>
    <w:rsid w:val="00CB4B47"/>
    <w:rsid w:val="00CB7473"/>
    <w:rsid w:val="00CD6F55"/>
    <w:rsid w:val="00CE6E90"/>
    <w:rsid w:val="00CF7EF5"/>
    <w:rsid w:val="00D327D9"/>
    <w:rsid w:val="00D370B1"/>
    <w:rsid w:val="00DE3104"/>
    <w:rsid w:val="00DE6170"/>
    <w:rsid w:val="00E01FE5"/>
    <w:rsid w:val="00E30AAC"/>
    <w:rsid w:val="00E95D97"/>
    <w:rsid w:val="00EC2EEC"/>
    <w:rsid w:val="00ED2C63"/>
    <w:rsid w:val="00F046EA"/>
    <w:rsid w:val="00F10881"/>
    <w:rsid w:val="00F72EEA"/>
    <w:rsid w:val="00F84CAE"/>
    <w:rsid w:val="00FA41DE"/>
    <w:rsid w:val="00FB09B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865271"/>
    <w:pPr>
      <w:widowControl/>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har"/>
    <w:rsid w:val="005F4C4C"/>
    <w:pPr>
      <w:widowControl/>
      <w:bidi/>
      <w:spacing w:after="160"/>
    </w:pPr>
    <w:rPr>
      <w:rFonts w:ascii="Calibri" w:eastAsiaTheme="minorHAnsi" w:hAnsi="Calibri" w:cs="Calibri"/>
      <w:noProof/>
      <w:lang w:bidi="fa-IR"/>
    </w:rPr>
  </w:style>
  <w:style w:type="character" w:customStyle="1" w:styleId="EndNoteBibliographyChar">
    <w:name w:val="EndNote Bibliography Char"/>
    <w:basedOn w:val="DefaultParagraphFont"/>
    <w:link w:val="EndNoteBibliography"/>
    <w:rsid w:val="005F4C4C"/>
    <w:rPr>
      <w:rFonts w:ascii="Calibri" w:hAnsi="Calibri" w:cs="Calibri"/>
      <w:noProof/>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865271"/>
    <w:pPr>
      <w:widowControl/>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har"/>
    <w:rsid w:val="005F4C4C"/>
    <w:pPr>
      <w:widowControl/>
      <w:bidi/>
      <w:spacing w:after="160"/>
    </w:pPr>
    <w:rPr>
      <w:rFonts w:ascii="Calibri" w:eastAsiaTheme="minorHAnsi" w:hAnsi="Calibri" w:cs="Calibri"/>
      <w:noProof/>
      <w:lang w:bidi="fa-IR"/>
    </w:rPr>
  </w:style>
  <w:style w:type="character" w:customStyle="1" w:styleId="EndNoteBibliographyChar">
    <w:name w:val="EndNote Bibliography Char"/>
    <w:basedOn w:val="DefaultParagraphFont"/>
    <w:link w:val="EndNoteBibliography"/>
    <w:rsid w:val="005F4C4C"/>
    <w:rPr>
      <w:rFonts w:ascii="Calibri" w:hAnsi="Calibri" w:cs="Calibri"/>
      <w:noProof/>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medicinalchemistry</cp:lastModifiedBy>
  <cp:revision>2</cp:revision>
  <cp:lastPrinted>2023-02-23T14:16:00Z</cp:lastPrinted>
  <dcterms:created xsi:type="dcterms:W3CDTF">2023-02-24T06:26:00Z</dcterms:created>
  <dcterms:modified xsi:type="dcterms:W3CDTF">2023-02-24T06:26:00Z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