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7E0" w:rsidRPr="007C71D1" w:rsidRDefault="007C71D1" w:rsidP="007C71D1">
      <w:pPr>
        <w:spacing w:before="182" w:line="259" w:lineRule="auto"/>
        <w:ind w:right="103"/>
        <w:jc w:val="center"/>
        <w:rPr>
          <w:b/>
        </w:rPr>
      </w:pPr>
      <w:proofErr w:type="gramStart"/>
      <w:r w:rsidRPr="007C71D1">
        <w:rPr>
          <w:b/>
        </w:rPr>
        <w:t>Exploring the Importance of Using Phenomenology of Temporality in perception of control</w:t>
      </w:r>
      <w:r w:rsidRPr="007C71D1">
        <w:rPr>
          <w:b/>
          <w:spacing w:val="-52"/>
        </w:rPr>
        <w:t xml:space="preserve"> </w:t>
      </w:r>
      <w:r w:rsidRPr="007C71D1">
        <w:rPr>
          <w:b/>
        </w:rPr>
        <w:t>to aid</w:t>
      </w:r>
      <w:r w:rsidRPr="007C71D1">
        <w:rPr>
          <w:b/>
          <w:spacing w:val="-2"/>
        </w:rPr>
        <w:t xml:space="preserve"> </w:t>
      </w:r>
      <w:r w:rsidRPr="007C71D1">
        <w:rPr>
          <w:b/>
        </w:rPr>
        <w:t>improvement</w:t>
      </w:r>
      <w:r w:rsidRPr="007C71D1">
        <w:rPr>
          <w:b/>
          <w:spacing w:val="1"/>
        </w:rPr>
        <w:t xml:space="preserve"> </w:t>
      </w:r>
      <w:r w:rsidRPr="007C71D1">
        <w:rPr>
          <w:b/>
        </w:rPr>
        <w:t>in</w:t>
      </w:r>
      <w:r w:rsidRPr="007C71D1">
        <w:rPr>
          <w:b/>
          <w:spacing w:val="-5"/>
        </w:rPr>
        <w:t xml:space="preserve"> </w:t>
      </w:r>
      <w:r w:rsidRPr="007C71D1">
        <w:rPr>
          <w:b/>
        </w:rPr>
        <w:t>mental</w:t>
      </w:r>
      <w:r w:rsidRPr="007C71D1">
        <w:rPr>
          <w:b/>
          <w:spacing w:val="1"/>
        </w:rPr>
        <w:t xml:space="preserve"> </w:t>
      </w:r>
      <w:r w:rsidRPr="007C71D1">
        <w:rPr>
          <w:b/>
        </w:rPr>
        <w:t>health</w:t>
      </w:r>
      <w:r w:rsidRPr="007C71D1">
        <w:rPr>
          <w:b/>
          <w:spacing w:val="-2"/>
        </w:rPr>
        <w:t xml:space="preserve"> </w:t>
      </w:r>
      <w:r w:rsidRPr="007C71D1">
        <w:rPr>
          <w:b/>
        </w:rPr>
        <w:t>outcomes</w:t>
      </w:r>
      <w:r w:rsidRPr="007C71D1">
        <w:rPr>
          <w:b/>
          <w:spacing w:val="5"/>
        </w:rPr>
        <w:t xml:space="preserve"> </w:t>
      </w:r>
      <w:r w:rsidRPr="007C71D1">
        <w:rPr>
          <w:b/>
        </w:rPr>
        <w:t>– trajectory findings</w:t>
      </w:r>
      <w:r w:rsidRPr="007C71D1">
        <w:rPr>
          <w:b/>
        </w:rPr>
        <w:t>.</w:t>
      </w:r>
      <w:proofErr w:type="gramEnd"/>
    </w:p>
    <w:p w:rsidR="000D57E0" w:rsidRPr="007C71D1" w:rsidRDefault="007C71D1" w:rsidP="007C71D1">
      <w:pPr>
        <w:pStyle w:val="BodyText"/>
        <w:spacing w:before="162"/>
        <w:ind w:left="0"/>
        <w:rPr>
          <w:sz w:val="22"/>
          <w:szCs w:val="22"/>
        </w:rPr>
      </w:pPr>
      <w:bookmarkStart w:id="0" w:name="_GoBack"/>
      <w:r w:rsidRPr="007C71D1">
        <w:rPr>
          <w:sz w:val="22"/>
          <w:szCs w:val="22"/>
        </w:rPr>
        <w:t>Stephen</w:t>
      </w:r>
      <w:r w:rsidRPr="007C71D1">
        <w:rPr>
          <w:spacing w:val="-2"/>
          <w:sz w:val="22"/>
          <w:szCs w:val="22"/>
        </w:rPr>
        <w:t xml:space="preserve"> </w:t>
      </w:r>
      <w:r w:rsidRPr="007C71D1">
        <w:rPr>
          <w:sz w:val="22"/>
          <w:szCs w:val="22"/>
        </w:rPr>
        <w:t>Joseph</w:t>
      </w:r>
      <w:bookmarkEnd w:id="0"/>
      <w:r w:rsidRPr="007C71D1">
        <w:rPr>
          <w:sz w:val="22"/>
          <w:szCs w:val="22"/>
        </w:rPr>
        <w:t>,</w:t>
      </w:r>
      <w:r w:rsidRPr="007C71D1">
        <w:rPr>
          <w:spacing w:val="-4"/>
          <w:sz w:val="22"/>
          <w:szCs w:val="22"/>
        </w:rPr>
        <w:t xml:space="preserve"> </w:t>
      </w:r>
      <w:proofErr w:type="spellStart"/>
      <w:r w:rsidRPr="007C71D1">
        <w:rPr>
          <w:sz w:val="22"/>
          <w:szCs w:val="22"/>
        </w:rPr>
        <w:t>BEd</w:t>
      </w:r>
      <w:proofErr w:type="spellEnd"/>
      <w:r w:rsidRPr="007C71D1">
        <w:rPr>
          <w:sz w:val="22"/>
          <w:szCs w:val="22"/>
        </w:rPr>
        <w:t>,</w:t>
      </w:r>
      <w:r w:rsidRPr="007C71D1">
        <w:rPr>
          <w:spacing w:val="-4"/>
          <w:sz w:val="22"/>
          <w:szCs w:val="22"/>
        </w:rPr>
        <w:t xml:space="preserve"> </w:t>
      </w:r>
      <w:r w:rsidRPr="007C71D1">
        <w:rPr>
          <w:sz w:val="22"/>
          <w:szCs w:val="22"/>
        </w:rPr>
        <w:t>MBA,</w:t>
      </w:r>
      <w:r w:rsidRPr="007C71D1">
        <w:rPr>
          <w:spacing w:val="-2"/>
          <w:sz w:val="22"/>
          <w:szCs w:val="22"/>
        </w:rPr>
        <w:t xml:space="preserve"> </w:t>
      </w:r>
      <w:proofErr w:type="spellStart"/>
      <w:r w:rsidRPr="007C71D1">
        <w:rPr>
          <w:sz w:val="22"/>
          <w:szCs w:val="22"/>
        </w:rPr>
        <w:t>MNSc</w:t>
      </w:r>
      <w:proofErr w:type="spellEnd"/>
      <w:r w:rsidRPr="007C71D1">
        <w:rPr>
          <w:sz w:val="22"/>
          <w:szCs w:val="22"/>
        </w:rPr>
        <w:t>,</w:t>
      </w:r>
      <w:r w:rsidRPr="007C71D1">
        <w:rPr>
          <w:spacing w:val="-3"/>
          <w:sz w:val="22"/>
          <w:szCs w:val="22"/>
        </w:rPr>
        <w:t xml:space="preserve"> </w:t>
      </w:r>
      <w:proofErr w:type="spellStart"/>
      <w:r w:rsidRPr="007C71D1">
        <w:rPr>
          <w:sz w:val="22"/>
          <w:szCs w:val="22"/>
        </w:rPr>
        <w:t>PgDMHN</w:t>
      </w:r>
      <w:proofErr w:type="spellEnd"/>
      <w:r w:rsidRPr="007C71D1">
        <w:rPr>
          <w:sz w:val="22"/>
          <w:szCs w:val="22"/>
        </w:rPr>
        <w:t>,</w:t>
      </w:r>
      <w:r w:rsidRPr="007C71D1">
        <w:rPr>
          <w:spacing w:val="-4"/>
          <w:sz w:val="22"/>
          <w:szCs w:val="22"/>
        </w:rPr>
        <w:t xml:space="preserve"> </w:t>
      </w:r>
      <w:r w:rsidRPr="007C71D1">
        <w:rPr>
          <w:sz w:val="22"/>
          <w:szCs w:val="22"/>
        </w:rPr>
        <w:t>PhD</w:t>
      </w:r>
    </w:p>
    <w:p w:rsidR="000D57E0" w:rsidRPr="007C71D1" w:rsidRDefault="007C71D1" w:rsidP="007C71D1">
      <w:pPr>
        <w:pStyle w:val="BodyText"/>
        <w:spacing w:line="259" w:lineRule="auto"/>
        <w:ind w:left="0"/>
        <w:rPr>
          <w:sz w:val="22"/>
          <w:szCs w:val="22"/>
        </w:rPr>
      </w:pPr>
      <w:proofErr w:type="gramStart"/>
      <w:r w:rsidRPr="007C71D1">
        <w:rPr>
          <w:sz w:val="22"/>
          <w:szCs w:val="22"/>
        </w:rPr>
        <w:t>School of Health and Social Care, University of Essex, UK.</w:t>
      </w:r>
      <w:proofErr w:type="gramEnd"/>
      <w:r w:rsidRPr="007C71D1">
        <w:rPr>
          <w:sz w:val="22"/>
          <w:szCs w:val="22"/>
        </w:rPr>
        <w:t xml:space="preserve"> </w:t>
      </w:r>
    </w:p>
    <w:p w:rsidR="007C71D1" w:rsidRDefault="007C71D1" w:rsidP="007C71D1">
      <w:pPr>
        <w:pStyle w:val="Heading1"/>
        <w:spacing w:line="388" w:lineRule="auto"/>
        <w:ind w:left="0" w:right="6511"/>
        <w:rPr>
          <w:spacing w:val="1"/>
          <w:sz w:val="22"/>
          <w:szCs w:val="22"/>
        </w:rPr>
      </w:pPr>
      <w:r w:rsidRPr="007C71D1">
        <w:rPr>
          <w:sz w:val="22"/>
          <w:szCs w:val="22"/>
        </w:rPr>
        <w:t>Abstract</w:t>
      </w:r>
    </w:p>
    <w:p w:rsidR="000D57E0" w:rsidRPr="007C71D1" w:rsidRDefault="007C71D1" w:rsidP="007C71D1">
      <w:pPr>
        <w:pStyle w:val="Heading1"/>
        <w:spacing w:line="388" w:lineRule="auto"/>
        <w:ind w:left="0" w:right="6511"/>
        <w:rPr>
          <w:b w:val="0"/>
          <w:sz w:val="22"/>
          <w:szCs w:val="22"/>
        </w:rPr>
      </w:pPr>
      <w:r w:rsidRPr="007C71D1">
        <w:rPr>
          <w:sz w:val="22"/>
          <w:szCs w:val="22"/>
        </w:rPr>
        <w:t>Background/Introduction</w:t>
      </w:r>
      <w:r w:rsidRPr="007C71D1">
        <w:rPr>
          <w:b w:val="0"/>
          <w:sz w:val="22"/>
          <w:szCs w:val="22"/>
        </w:rPr>
        <w:t>:</w:t>
      </w:r>
    </w:p>
    <w:p w:rsidR="000D57E0" w:rsidRPr="007C71D1" w:rsidRDefault="007C71D1" w:rsidP="007C71D1">
      <w:pPr>
        <w:pStyle w:val="BodyText"/>
        <w:spacing w:before="4" w:line="259" w:lineRule="auto"/>
        <w:ind w:left="0" w:right="161"/>
        <w:rPr>
          <w:sz w:val="22"/>
          <w:szCs w:val="22"/>
        </w:rPr>
      </w:pPr>
      <w:r w:rsidRPr="007C71D1">
        <w:rPr>
          <w:sz w:val="22"/>
          <w:szCs w:val="22"/>
        </w:rPr>
        <w:t>Extant literature has highlighted the importance of perception o</w:t>
      </w:r>
      <w:r w:rsidRPr="007C71D1">
        <w:rPr>
          <w:sz w:val="22"/>
          <w:szCs w:val="22"/>
        </w:rPr>
        <w:t>f control in several fields of</w:t>
      </w:r>
      <w:r w:rsidRPr="007C71D1">
        <w:rPr>
          <w:spacing w:val="1"/>
          <w:sz w:val="22"/>
          <w:szCs w:val="22"/>
        </w:rPr>
        <w:t xml:space="preserve"> </w:t>
      </w:r>
      <w:r w:rsidRPr="007C71D1">
        <w:rPr>
          <w:sz w:val="22"/>
          <w:szCs w:val="22"/>
        </w:rPr>
        <w:t>human endeavor</w:t>
      </w:r>
      <w:r w:rsidRPr="007C71D1">
        <w:rPr>
          <w:sz w:val="22"/>
          <w:szCs w:val="22"/>
        </w:rPr>
        <w:t>, including political, economic, social, and technological domains,</w:t>
      </w:r>
      <w:r w:rsidRPr="007C71D1">
        <w:rPr>
          <w:spacing w:val="1"/>
          <w:sz w:val="22"/>
          <w:szCs w:val="22"/>
        </w:rPr>
        <w:t xml:space="preserve"> </w:t>
      </w:r>
      <w:r w:rsidRPr="007C71D1">
        <w:rPr>
          <w:sz w:val="22"/>
          <w:szCs w:val="22"/>
        </w:rPr>
        <w:t>including health. A dearth of literature exists however, on the relationship between</w:t>
      </w:r>
      <w:r w:rsidRPr="007C71D1">
        <w:rPr>
          <w:spacing w:val="1"/>
          <w:sz w:val="22"/>
          <w:szCs w:val="22"/>
        </w:rPr>
        <w:t xml:space="preserve"> </w:t>
      </w:r>
      <w:r w:rsidRPr="007C71D1">
        <w:rPr>
          <w:sz w:val="22"/>
          <w:szCs w:val="22"/>
        </w:rPr>
        <w:t>perception of control and the temporality phenomenon in the experiences of mental health</w:t>
      </w:r>
      <w:r w:rsidRPr="007C71D1">
        <w:rPr>
          <w:spacing w:val="-53"/>
          <w:sz w:val="22"/>
          <w:szCs w:val="22"/>
        </w:rPr>
        <w:t xml:space="preserve"> </w:t>
      </w:r>
      <w:r w:rsidRPr="007C71D1">
        <w:rPr>
          <w:sz w:val="22"/>
          <w:szCs w:val="22"/>
        </w:rPr>
        <w:t>service users.</w:t>
      </w:r>
    </w:p>
    <w:p w:rsidR="000D57E0" w:rsidRPr="007C71D1" w:rsidRDefault="007C71D1" w:rsidP="007C71D1">
      <w:pPr>
        <w:pStyle w:val="Heading1"/>
        <w:ind w:left="0"/>
        <w:rPr>
          <w:sz w:val="22"/>
          <w:szCs w:val="22"/>
        </w:rPr>
      </w:pPr>
      <w:r w:rsidRPr="007C71D1">
        <w:rPr>
          <w:sz w:val="22"/>
          <w:szCs w:val="22"/>
        </w:rPr>
        <w:t>Purpose:</w:t>
      </w:r>
    </w:p>
    <w:p w:rsidR="000D57E0" w:rsidRPr="007C71D1" w:rsidRDefault="007C71D1" w:rsidP="007C71D1">
      <w:pPr>
        <w:pStyle w:val="BodyText"/>
        <w:spacing w:before="184" w:line="259" w:lineRule="auto"/>
        <w:ind w:left="0" w:right="103"/>
        <w:rPr>
          <w:sz w:val="22"/>
          <w:szCs w:val="22"/>
        </w:rPr>
      </w:pPr>
      <w:r w:rsidRPr="007C71D1">
        <w:rPr>
          <w:sz w:val="22"/>
          <w:szCs w:val="22"/>
        </w:rPr>
        <w:t>The</w:t>
      </w:r>
      <w:r w:rsidRPr="007C71D1">
        <w:rPr>
          <w:spacing w:val="-3"/>
          <w:sz w:val="22"/>
          <w:szCs w:val="22"/>
        </w:rPr>
        <w:t xml:space="preserve"> </w:t>
      </w:r>
      <w:r w:rsidRPr="007C71D1">
        <w:rPr>
          <w:sz w:val="22"/>
          <w:szCs w:val="22"/>
        </w:rPr>
        <w:t>aim</w:t>
      </w:r>
      <w:r w:rsidRPr="007C71D1">
        <w:rPr>
          <w:spacing w:val="-2"/>
          <w:sz w:val="22"/>
          <w:szCs w:val="22"/>
        </w:rPr>
        <w:t xml:space="preserve"> </w:t>
      </w:r>
      <w:r w:rsidRPr="007C71D1">
        <w:rPr>
          <w:sz w:val="22"/>
          <w:szCs w:val="22"/>
        </w:rPr>
        <w:t>of</w:t>
      </w:r>
      <w:r w:rsidRPr="007C71D1">
        <w:rPr>
          <w:spacing w:val="-4"/>
          <w:sz w:val="22"/>
          <w:szCs w:val="22"/>
        </w:rPr>
        <w:t xml:space="preserve"> </w:t>
      </w:r>
      <w:r w:rsidRPr="007C71D1">
        <w:rPr>
          <w:sz w:val="22"/>
          <w:szCs w:val="22"/>
        </w:rPr>
        <w:t>this</w:t>
      </w:r>
      <w:r w:rsidRPr="007C71D1">
        <w:rPr>
          <w:spacing w:val="-5"/>
          <w:sz w:val="22"/>
          <w:szCs w:val="22"/>
        </w:rPr>
        <w:t xml:space="preserve"> </w:t>
      </w:r>
      <w:r w:rsidRPr="007C71D1">
        <w:rPr>
          <w:sz w:val="22"/>
          <w:szCs w:val="22"/>
        </w:rPr>
        <w:t>qualitative</w:t>
      </w:r>
      <w:r w:rsidRPr="007C71D1">
        <w:rPr>
          <w:spacing w:val="-2"/>
          <w:sz w:val="22"/>
          <w:szCs w:val="22"/>
        </w:rPr>
        <w:t xml:space="preserve"> </w:t>
      </w:r>
      <w:r w:rsidRPr="007C71D1">
        <w:rPr>
          <w:sz w:val="22"/>
          <w:szCs w:val="22"/>
        </w:rPr>
        <w:t>study</w:t>
      </w:r>
      <w:r w:rsidRPr="007C71D1">
        <w:rPr>
          <w:spacing w:val="-5"/>
          <w:sz w:val="22"/>
          <w:szCs w:val="22"/>
        </w:rPr>
        <w:t xml:space="preserve"> </w:t>
      </w:r>
      <w:r w:rsidRPr="007C71D1">
        <w:rPr>
          <w:sz w:val="22"/>
          <w:szCs w:val="22"/>
        </w:rPr>
        <w:t>was</w:t>
      </w:r>
      <w:r w:rsidRPr="007C71D1">
        <w:rPr>
          <w:spacing w:val="-3"/>
          <w:sz w:val="22"/>
          <w:szCs w:val="22"/>
        </w:rPr>
        <w:t xml:space="preserve"> </w:t>
      </w:r>
      <w:r w:rsidRPr="007C71D1">
        <w:rPr>
          <w:sz w:val="22"/>
          <w:szCs w:val="22"/>
        </w:rPr>
        <w:t>to</w:t>
      </w:r>
      <w:r w:rsidRPr="007C71D1">
        <w:rPr>
          <w:spacing w:val="-2"/>
          <w:sz w:val="22"/>
          <w:szCs w:val="22"/>
        </w:rPr>
        <w:t xml:space="preserve"> </w:t>
      </w:r>
      <w:r w:rsidRPr="007C71D1">
        <w:rPr>
          <w:sz w:val="22"/>
          <w:szCs w:val="22"/>
        </w:rPr>
        <w:t>investigate</w:t>
      </w:r>
      <w:r w:rsidRPr="007C71D1">
        <w:rPr>
          <w:spacing w:val="-2"/>
          <w:sz w:val="22"/>
          <w:szCs w:val="22"/>
        </w:rPr>
        <w:t xml:space="preserve"> </w:t>
      </w:r>
      <w:r w:rsidRPr="007C71D1">
        <w:rPr>
          <w:sz w:val="22"/>
          <w:szCs w:val="22"/>
        </w:rPr>
        <w:t>the</w:t>
      </w:r>
      <w:r w:rsidRPr="007C71D1">
        <w:rPr>
          <w:spacing w:val="-4"/>
          <w:sz w:val="22"/>
          <w:szCs w:val="22"/>
        </w:rPr>
        <w:t xml:space="preserve"> </w:t>
      </w:r>
      <w:r w:rsidRPr="007C71D1">
        <w:rPr>
          <w:sz w:val="22"/>
          <w:szCs w:val="22"/>
        </w:rPr>
        <w:t>perceptions</w:t>
      </w:r>
      <w:r w:rsidRPr="007C71D1">
        <w:rPr>
          <w:spacing w:val="-3"/>
          <w:sz w:val="22"/>
          <w:szCs w:val="22"/>
        </w:rPr>
        <w:t xml:space="preserve"> </w:t>
      </w:r>
      <w:r w:rsidRPr="007C71D1">
        <w:rPr>
          <w:sz w:val="22"/>
          <w:szCs w:val="22"/>
        </w:rPr>
        <w:t>of</w:t>
      </w:r>
      <w:r w:rsidRPr="007C71D1">
        <w:rPr>
          <w:spacing w:val="-2"/>
          <w:sz w:val="22"/>
          <w:szCs w:val="22"/>
        </w:rPr>
        <w:t xml:space="preserve"> </w:t>
      </w:r>
      <w:r w:rsidRPr="007C71D1">
        <w:rPr>
          <w:sz w:val="22"/>
          <w:szCs w:val="22"/>
        </w:rPr>
        <w:t>African</w:t>
      </w:r>
      <w:r w:rsidRPr="007C71D1">
        <w:rPr>
          <w:spacing w:val="-2"/>
          <w:sz w:val="22"/>
          <w:szCs w:val="22"/>
        </w:rPr>
        <w:t xml:space="preserve"> </w:t>
      </w:r>
      <w:r w:rsidRPr="007C71D1">
        <w:rPr>
          <w:sz w:val="22"/>
          <w:szCs w:val="22"/>
        </w:rPr>
        <w:t>and</w:t>
      </w:r>
      <w:r w:rsidRPr="007C71D1">
        <w:rPr>
          <w:spacing w:val="-2"/>
          <w:sz w:val="22"/>
          <w:szCs w:val="22"/>
        </w:rPr>
        <w:t xml:space="preserve"> </w:t>
      </w:r>
      <w:r w:rsidRPr="007C71D1">
        <w:rPr>
          <w:sz w:val="22"/>
          <w:szCs w:val="22"/>
        </w:rPr>
        <w:t>Caribbean</w:t>
      </w:r>
      <w:r w:rsidRPr="007C71D1">
        <w:rPr>
          <w:spacing w:val="-51"/>
          <w:sz w:val="22"/>
          <w:szCs w:val="22"/>
        </w:rPr>
        <w:t xml:space="preserve"> </w:t>
      </w:r>
      <w:r w:rsidRPr="007C71D1">
        <w:rPr>
          <w:sz w:val="22"/>
          <w:szCs w:val="22"/>
        </w:rPr>
        <w:t>service users with experience of mental health se</w:t>
      </w:r>
      <w:r w:rsidRPr="007C71D1">
        <w:rPr>
          <w:sz w:val="22"/>
          <w:szCs w:val="22"/>
        </w:rPr>
        <w:t>rvices, on Locus of Control (LOC) within</w:t>
      </w:r>
      <w:r w:rsidRPr="007C71D1">
        <w:rPr>
          <w:spacing w:val="1"/>
          <w:sz w:val="22"/>
          <w:szCs w:val="22"/>
        </w:rPr>
        <w:t xml:space="preserve"> </w:t>
      </w:r>
      <w:r w:rsidRPr="007C71D1">
        <w:rPr>
          <w:sz w:val="22"/>
          <w:szCs w:val="22"/>
        </w:rPr>
        <w:t>the</w:t>
      </w:r>
      <w:r w:rsidRPr="007C71D1">
        <w:rPr>
          <w:spacing w:val="-3"/>
          <w:sz w:val="22"/>
          <w:szCs w:val="22"/>
        </w:rPr>
        <w:t xml:space="preserve"> </w:t>
      </w:r>
      <w:r w:rsidRPr="007C71D1">
        <w:rPr>
          <w:sz w:val="22"/>
          <w:szCs w:val="22"/>
        </w:rPr>
        <w:t>context</w:t>
      </w:r>
      <w:r w:rsidRPr="007C71D1">
        <w:rPr>
          <w:spacing w:val="-1"/>
          <w:sz w:val="22"/>
          <w:szCs w:val="22"/>
        </w:rPr>
        <w:t xml:space="preserve"> </w:t>
      </w:r>
      <w:r w:rsidRPr="007C71D1">
        <w:rPr>
          <w:sz w:val="22"/>
          <w:szCs w:val="22"/>
        </w:rPr>
        <w:t>of the</w:t>
      </w:r>
      <w:r w:rsidRPr="007C71D1">
        <w:rPr>
          <w:spacing w:val="-1"/>
          <w:sz w:val="22"/>
          <w:szCs w:val="22"/>
        </w:rPr>
        <w:t xml:space="preserve"> </w:t>
      </w:r>
      <w:r w:rsidRPr="007C71D1">
        <w:rPr>
          <w:sz w:val="22"/>
          <w:szCs w:val="22"/>
        </w:rPr>
        <w:t>tension between care</w:t>
      </w:r>
      <w:r w:rsidRPr="007C71D1">
        <w:rPr>
          <w:spacing w:val="-1"/>
          <w:sz w:val="22"/>
          <w:szCs w:val="22"/>
        </w:rPr>
        <w:t xml:space="preserve"> </w:t>
      </w:r>
      <w:r w:rsidRPr="007C71D1">
        <w:rPr>
          <w:sz w:val="22"/>
          <w:szCs w:val="22"/>
        </w:rPr>
        <w:t>and</w:t>
      </w:r>
      <w:r w:rsidRPr="007C71D1">
        <w:rPr>
          <w:spacing w:val="-1"/>
          <w:sz w:val="22"/>
          <w:szCs w:val="22"/>
        </w:rPr>
        <w:t xml:space="preserve"> </w:t>
      </w:r>
      <w:r w:rsidRPr="007C71D1">
        <w:rPr>
          <w:sz w:val="22"/>
          <w:szCs w:val="22"/>
        </w:rPr>
        <w:t>control.</w:t>
      </w:r>
    </w:p>
    <w:p w:rsidR="000D57E0" w:rsidRPr="007C71D1" w:rsidRDefault="007C71D1" w:rsidP="007C71D1">
      <w:pPr>
        <w:pStyle w:val="Heading1"/>
        <w:spacing w:before="157"/>
        <w:ind w:left="0"/>
        <w:rPr>
          <w:sz w:val="22"/>
          <w:szCs w:val="22"/>
        </w:rPr>
      </w:pPr>
      <w:r w:rsidRPr="007C71D1">
        <w:rPr>
          <w:sz w:val="22"/>
          <w:szCs w:val="22"/>
        </w:rPr>
        <w:t>Methods:</w:t>
      </w:r>
    </w:p>
    <w:p w:rsidR="000D57E0" w:rsidRPr="007C71D1" w:rsidRDefault="007C71D1" w:rsidP="007C71D1">
      <w:pPr>
        <w:pStyle w:val="BodyText"/>
        <w:spacing w:before="185" w:line="259" w:lineRule="auto"/>
        <w:ind w:left="0" w:right="204"/>
        <w:rPr>
          <w:sz w:val="22"/>
          <w:szCs w:val="22"/>
        </w:rPr>
      </w:pPr>
      <w:r w:rsidRPr="007C71D1">
        <w:rPr>
          <w:sz w:val="22"/>
          <w:szCs w:val="22"/>
        </w:rPr>
        <w:t>Informed by an Interpretivist approach, this study was conducted via in-depth interviews</w:t>
      </w:r>
      <w:r w:rsidRPr="007C71D1">
        <w:rPr>
          <w:spacing w:val="1"/>
          <w:sz w:val="22"/>
          <w:szCs w:val="22"/>
        </w:rPr>
        <w:t xml:space="preserve"> </w:t>
      </w:r>
      <w:r w:rsidRPr="007C71D1">
        <w:rPr>
          <w:sz w:val="22"/>
          <w:szCs w:val="22"/>
        </w:rPr>
        <w:t xml:space="preserve">(N=10) and two focus groups (N=14). Purposive sampling methods </w:t>
      </w:r>
      <w:r w:rsidRPr="007C71D1">
        <w:rPr>
          <w:sz w:val="22"/>
          <w:szCs w:val="22"/>
        </w:rPr>
        <w:t>were used to recruit</w:t>
      </w:r>
      <w:r w:rsidRPr="007C71D1">
        <w:rPr>
          <w:spacing w:val="1"/>
          <w:sz w:val="22"/>
          <w:szCs w:val="22"/>
        </w:rPr>
        <w:t xml:space="preserve"> </w:t>
      </w:r>
      <w:r w:rsidRPr="007C71D1">
        <w:rPr>
          <w:sz w:val="22"/>
          <w:szCs w:val="22"/>
        </w:rPr>
        <w:t>mental health service users from a South London Borough to participate in the study. Data</w:t>
      </w:r>
      <w:r w:rsidRPr="007C71D1">
        <w:rPr>
          <w:spacing w:val="1"/>
          <w:sz w:val="22"/>
          <w:szCs w:val="22"/>
        </w:rPr>
        <w:t xml:space="preserve"> </w:t>
      </w:r>
      <w:r w:rsidRPr="007C71D1">
        <w:rPr>
          <w:sz w:val="22"/>
          <w:szCs w:val="22"/>
        </w:rPr>
        <w:t>were collected through a semi-structured interview schedule and a focus group guide. Data</w:t>
      </w:r>
      <w:r w:rsidRPr="007C71D1">
        <w:rPr>
          <w:spacing w:val="-52"/>
          <w:sz w:val="22"/>
          <w:szCs w:val="22"/>
        </w:rPr>
        <w:t xml:space="preserve"> </w:t>
      </w:r>
      <w:r w:rsidRPr="007C71D1">
        <w:rPr>
          <w:sz w:val="22"/>
          <w:szCs w:val="22"/>
        </w:rPr>
        <w:t xml:space="preserve">analysis was informed by an Interpretive Phenomenology </w:t>
      </w:r>
      <w:r w:rsidRPr="007C71D1">
        <w:rPr>
          <w:sz w:val="22"/>
          <w:szCs w:val="22"/>
        </w:rPr>
        <w:t>Analysis approach in the</w:t>
      </w:r>
      <w:r w:rsidRPr="007C71D1">
        <w:rPr>
          <w:spacing w:val="1"/>
          <w:sz w:val="22"/>
          <w:szCs w:val="22"/>
        </w:rPr>
        <w:t xml:space="preserve"> </w:t>
      </w:r>
      <w:r w:rsidRPr="007C71D1">
        <w:rPr>
          <w:sz w:val="22"/>
          <w:szCs w:val="22"/>
        </w:rPr>
        <w:t>examination</w:t>
      </w:r>
      <w:r w:rsidRPr="007C71D1">
        <w:rPr>
          <w:spacing w:val="-1"/>
          <w:sz w:val="22"/>
          <w:szCs w:val="22"/>
        </w:rPr>
        <w:t xml:space="preserve"> </w:t>
      </w:r>
      <w:r w:rsidRPr="007C71D1">
        <w:rPr>
          <w:sz w:val="22"/>
          <w:szCs w:val="22"/>
        </w:rPr>
        <w:t>of</w:t>
      </w:r>
      <w:r w:rsidRPr="007C71D1">
        <w:rPr>
          <w:spacing w:val="-1"/>
          <w:sz w:val="22"/>
          <w:szCs w:val="22"/>
        </w:rPr>
        <w:t xml:space="preserve"> </w:t>
      </w:r>
      <w:r w:rsidRPr="007C71D1">
        <w:rPr>
          <w:sz w:val="22"/>
          <w:szCs w:val="22"/>
        </w:rPr>
        <w:t>the LOC</w:t>
      </w:r>
      <w:r w:rsidRPr="007C71D1">
        <w:rPr>
          <w:spacing w:val="-3"/>
          <w:sz w:val="22"/>
          <w:szCs w:val="22"/>
        </w:rPr>
        <w:t xml:space="preserve"> </w:t>
      </w:r>
      <w:r w:rsidRPr="007C71D1">
        <w:rPr>
          <w:sz w:val="22"/>
          <w:szCs w:val="22"/>
        </w:rPr>
        <w:t>profiles</w:t>
      </w:r>
      <w:r w:rsidRPr="007C71D1">
        <w:rPr>
          <w:spacing w:val="1"/>
          <w:sz w:val="22"/>
          <w:szCs w:val="22"/>
        </w:rPr>
        <w:t xml:space="preserve"> </w:t>
      </w:r>
      <w:r w:rsidRPr="007C71D1">
        <w:rPr>
          <w:sz w:val="22"/>
          <w:szCs w:val="22"/>
        </w:rPr>
        <w:t>and service</w:t>
      </w:r>
      <w:r w:rsidRPr="007C71D1">
        <w:rPr>
          <w:spacing w:val="1"/>
          <w:sz w:val="22"/>
          <w:szCs w:val="22"/>
        </w:rPr>
        <w:t xml:space="preserve"> </w:t>
      </w:r>
      <w:r w:rsidRPr="007C71D1">
        <w:rPr>
          <w:sz w:val="22"/>
          <w:szCs w:val="22"/>
        </w:rPr>
        <w:t>user</w:t>
      </w:r>
      <w:r w:rsidRPr="007C71D1">
        <w:rPr>
          <w:spacing w:val="-2"/>
          <w:sz w:val="22"/>
          <w:szCs w:val="22"/>
        </w:rPr>
        <w:t xml:space="preserve"> </w:t>
      </w:r>
      <w:r w:rsidRPr="007C71D1">
        <w:rPr>
          <w:sz w:val="22"/>
          <w:szCs w:val="22"/>
        </w:rPr>
        <w:t>perspectives.</w:t>
      </w:r>
    </w:p>
    <w:p w:rsidR="000D57E0" w:rsidRPr="007C71D1" w:rsidRDefault="007C71D1" w:rsidP="007C71D1">
      <w:pPr>
        <w:pStyle w:val="Heading1"/>
        <w:ind w:left="0"/>
        <w:rPr>
          <w:sz w:val="22"/>
          <w:szCs w:val="22"/>
        </w:rPr>
      </w:pPr>
      <w:r w:rsidRPr="007C71D1">
        <w:rPr>
          <w:sz w:val="22"/>
          <w:szCs w:val="22"/>
        </w:rPr>
        <w:t>Results:</w:t>
      </w:r>
    </w:p>
    <w:p w:rsidR="000D57E0" w:rsidRPr="007C71D1" w:rsidRDefault="007C71D1" w:rsidP="007C71D1">
      <w:pPr>
        <w:pStyle w:val="BodyText"/>
        <w:spacing w:line="259" w:lineRule="auto"/>
        <w:ind w:left="0" w:right="113"/>
        <w:rPr>
          <w:sz w:val="22"/>
          <w:szCs w:val="22"/>
        </w:rPr>
      </w:pPr>
      <w:r w:rsidRPr="007C71D1">
        <w:rPr>
          <w:sz w:val="22"/>
          <w:szCs w:val="22"/>
        </w:rPr>
        <w:t>Findings from Interpretive Phenomenological Analysis (IPA</w:t>
      </w:r>
      <w:proofErr w:type="gramStart"/>
      <w:r w:rsidRPr="007C71D1">
        <w:rPr>
          <w:sz w:val="22"/>
          <w:szCs w:val="22"/>
        </w:rPr>
        <w:t>),</w:t>
      </w:r>
      <w:proofErr w:type="gramEnd"/>
      <w:r w:rsidRPr="007C71D1">
        <w:rPr>
          <w:sz w:val="22"/>
          <w:szCs w:val="22"/>
        </w:rPr>
        <w:t xml:space="preserve"> indicate that the location of</w:t>
      </w:r>
      <w:r w:rsidRPr="007C71D1">
        <w:rPr>
          <w:spacing w:val="1"/>
          <w:sz w:val="22"/>
          <w:szCs w:val="22"/>
        </w:rPr>
        <w:t xml:space="preserve"> </w:t>
      </w:r>
      <w:r w:rsidRPr="007C71D1">
        <w:rPr>
          <w:sz w:val="22"/>
          <w:szCs w:val="22"/>
        </w:rPr>
        <w:t xml:space="preserve">service users within the internal and external continuum is impacted </w:t>
      </w:r>
      <w:r w:rsidRPr="007C71D1">
        <w:rPr>
          <w:sz w:val="22"/>
          <w:szCs w:val="22"/>
        </w:rPr>
        <w:t>by the phenomenology</w:t>
      </w:r>
      <w:r w:rsidRPr="007C71D1">
        <w:rPr>
          <w:spacing w:val="-52"/>
          <w:sz w:val="22"/>
          <w:szCs w:val="22"/>
        </w:rPr>
        <w:t xml:space="preserve"> </w:t>
      </w:r>
      <w:r w:rsidRPr="007C71D1">
        <w:rPr>
          <w:sz w:val="22"/>
          <w:szCs w:val="22"/>
        </w:rPr>
        <w:t>of temporality because of several social, cultural, and economic factors, which characterized</w:t>
      </w:r>
      <w:r w:rsidRPr="007C71D1">
        <w:rPr>
          <w:spacing w:val="-52"/>
          <w:sz w:val="22"/>
          <w:szCs w:val="22"/>
        </w:rPr>
        <w:t xml:space="preserve"> </w:t>
      </w:r>
      <w:r w:rsidRPr="007C71D1">
        <w:rPr>
          <w:sz w:val="22"/>
          <w:szCs w:val="22"/>
        </w:rPr>
        <w:t>their</w:t>
      </w:r>
      <w:r w:rsidRPr="007C71D1">
        <w:rPr>
          <w:spacing w:val="-2"/>
          <w:sz w:val="22"/>
          <w:szCs w:val="22"/>
        </w:rPr>
        <w:t xml:space="preserve"> </w:t>
      </w:r>
      <w:r w:rsidRPr="007C71D1">
        <w:rPr>
          <w:sz w:val="22"/>
          <w:szCs w:val="22"/>
        </w:rPr>
        <w:t>experiences</w:t>
      </w:r>
      <w:r w:rsidRPr="007C71D1">
        <w:rPr>
          <w:spacing w:val="-2"/>
          <w:sz w:val="22"/>
          <w:szCs w:val="22"/>
        </w:rPr>
        <w:t xml:space="preserve"> </w:t>
      </w:r>
      <w:r w:rsidRPr="007C71D1">
        <w:rPr>
          <w:sz w:val="22"/>
          <w:szCs w:val="22"/>
        </w:rPr>
        <w:t>in</w:t>
      </w:r>
      <w:r w:rsidRPr="007C71D1">
        <w:rPr>
          <w:spacing w:val="-1"/>
          <w:sz w:val="22"/>
          <w:szCs w:val="22"/>
        </w:rPr>
        <w:t xml:space="preserve"> </w:t>
      </w:r>
      <w:r w:rsidRPr="007C71D1">
        <w:rPr>
          <w:sz w:val="22"/>
          <w:szCs w:val="22"/>
        </w:rPr>
        <w:t>their</w:t>
      </w:r>
      <w:r w:rsidRPr="007C71D1">
        <w:rPr>
          <w:spacing w:val="-1"/>
          <w:sz w:val="22"/>
          <w:szCs w:val="22"/>
        </w:rPr>
        <w:t xml:space="preserve"> </w:t>
      </w:r>
      <w:r w:rsidRPr="007C71D1">
        <w:rPr>
          <w:sz w:val="22"/>
          <w:szCs w:val="22"/>
        </w:rPr>
        <w:t>recovery journeys.</w:t>
      </w:r>
    </w:p>
    <w:p w:rsidR="007C71D1" w:rsidRDefault="007C71D1" w:rsidP="007C71D1">
      <w:pPr>
        <w:pStyle w:val="BodyText"/>
        <w:spacing w:before="161" w:line="259" w:lineRule="auto"/>
        <w:ind w:left="0" w:right="237"/>
        <w:rPr>
          <w:sz w:val="22"/>
          <w:szCs w:val="22"/>
        </w:rPr>
      </w:pPr>
      <w:r w:rsidRPr="007C71D1">
        <w:rPr>
          <w:b/>
          <w:sz w:val="22"/>
          <w:szCs w:val="22"/>
        </w:rPr>
        <w:t xml:space="preserve">Conclusions: </w:t>
      </w:r>
      <w:r w:rsidRPr="007C71D1">
        <w:rPr>
          <w:sz w:val="22"/>
          <w:szCs w:val="22"/>
        </w:rPr>
        <w:t>The findings suggest that opportunity exists for the relationships between</w:t>
      </w:r>
      <w:r w:rsidRPr="007C71D1">
        <w:rPr>
          <w:spacing w:val="1"/>
          <w:sz w:val="22"/>
          <w:szCs w:val="22"/>
        </w:rPr>
        <w:t xml:space="preserve"> </w:t>
      </w:r>
      <w:r w:rsidRPr="007C71D1">
        <w:rPr>
          <w:sz w:val="22"/>
          <w:szCs w:val="22"/>
        </w:rPr>
        <w:t>these concepts as they interplay in the experiences of the service users are</w:t>
      </w:r>
      <w:r w:rsidRPr="007C71D1">
        <w:rPr>
          <w:sz w:val="22"/>
          <w:szCs w:val="22"/>
        </w:rPr>
        <w:t xml:space="preserve"> harnessed by</w:t>
      </w:r>
      <w:r w:rsidRPr="007C71D1">
        <w:rPr>
          <w:spacing w:val="1"/>
          <w:sz w:val="22"/>
          <w:szCs w:val="22"/>
        </w:rPr>
        <w:t xml:space="preserve"> </w:t>
      </w:r>
      <w:r w:rsidRPr="007C71D1">
        <w:rPr>
          <w:sz w:val="22"/>
          <w:szCs w:val="22"/>
        </w:rPr>
        <w:t>healthcare professionals</w:t>
      </w:r>
      <w:r w:rsidRPr="007C71D1">
        <w:rPr>
          <w:sz w:val="22"/>
          <w:szCs w:val="22"/>
        </w:rPr>
        <w:t>. This is to promote service user engagement, ownership, sense of</w:t>
      </w:r>
      <w:r w:rsidRPr="007C71D1">
        <w:rPr>
          <w:spacing w:val="-52"/>
          <w:sz w:val="22"/>
          <w:szCs w:val="22"/>
        </w:rPr>
        <w:t xml:space="preserve"> </w:t>
      </w:r>
      <w:r w:rsidRPr="007C71D1">
        <w:rPr>
          <w:sz w:val="22"/>
          <w:szCs w:val="22"/>
        </w:rPr>
        <w:t>efficacy, agency, and overall positive outcomes for recovery in mental healt</w:t>
      </w:r>
      <w:r w:rsidRPr="007C71D1">
        <w:rPr>
          <w:sz w:val="22"/>
          <w:szCs w:val="22"/>
        </w:rPr>
        <w:t>h and other</w:t>
      </w:r>
      <w:r w:rsidRPr="007C71D1">
        <w:rPr>
          <w:spacing w:val="1"/>
          <w:sz w:val="22"/>
          <w:szCs w:val="22"/>
        </w:rPr>
        <w:t xml:space="preserve"> </w:t>
      </w:r>
      <w:r w:rsidRPr="007C71D1">
        <w:rPr>
          <w:sz w:val="22"/>
          <w:szCs w:val="22"/>
        </w:rPr>
        <w:t>healthcare</w:t>
      </w:r>
      <w:r w:rsidRPr="007C71D1">
        <w:rPr>
          <w:spacing w:val="-2"/>
          <w:sz w:val="22"/>
          <w:szCs w:val="22"/>
        </w:rPr>
        <w:t xml:space="preserve"> </w:t>
      </w:r>
      <w:r w:rsidRPr="007C71D1">
        <w:rPr>
          <w:sz w:val="22"/>
          <w:szCs w:val="22"/>
        </w:rPr>
        <w:t>domains.</w:t>
      </w:r>
    </w:p>
    <w:p w:rsidR="000D57E0" w:rsidRPr="007C71D1" w:rsidRDefault="007C71D1" w:rsidP="007C71D1">
      <w:pPr>
        <w:pStyle w:val="BodyText"/>
        <w:spacing w:before="161" w:line="259" w:lineRule="auto"/>
        <w:ind w:left="0" w:right="237"/>
        <w:rPr>
          <w:sz w:val="22"/>
          <w:szCs w:val="22"/>
        </w:rPr>
      </w:pPr>
      <w:r w:rsidRPr="007C71D1">
        <w:rPr>
          <w:b/>
          <w:sz w:val="22"/>
          <w:szCs w:val="22"/>
        </w:rPr>
        <w:t xml:space="preserve">Key Words: </w:t>
      </w:r>
      <w:r w:rsidRPr="007C71D1">
        <w:rPr>
          <w:sz w:val="22"/>
          <w:szCs w:val="22"/>
        </w:rPr>
        <w:t>African, Caribbean, Phenomenology of temporality, Locus of Control, Mental</w:t>
      </w:r>
      <w:r w:rsidRPr="007C71D1">
        <w:rPr>
          <w:spacing w:val="-52"/>
          <w:sz w:val="22"/>
          <w:szCs w:val="22"/>
        </w:rPr>
        <w:t xml:space="preserve"> </w:t>
      </w:r>
      <w:r w:rsidRPr="007C71D1">
        <w:rPr>
          <w:sz w:val="22"/>
          <w:szCs w:val="22"/>
        </w:rPr>
        <w:t>health</w:t>
      </w:r>
    </w:p>
    <w:p w:rsidR="007C71D1" w:rsidRDefault="007C71D1" w:rsidP="007C71D1">
      <w:pPr>
        <w:rPr>
          <w:b/>
        </w:rPr>
      </w:pPr>
    </w:p>
    <w:p w:rsidR="007C71D1" w:rsidRPr="007C71D1" w:rsidRDefault="007C71D1" w:rsidP="007C71D1">
      <w:pPr>
        <w:rPr>
          <w:b/>
        </w:rPr>
      </w:pPr>
      <w:r w:rsidRPr="007C71D1">
        <w:rPr>
          <w:b/>
        </w:rPr>
        <w:t xml:space="preserve">Biography: </w:t>
      </w:r>
    </w:p>
    <w:p w:rsidR="007C71D1" w:rsidRPr="007C71D1" w:rsidRDefault="007C71D1" w:rsidP="007C71D1"/>
    <w:p w:rsidR="007C71D1" w:rsidRPr="007C71D1" w:rsidRDefault="007C71D1" w:rsidP="007C71D1">
      <w:r w:rsidRPr="007C71D1">
        <w:t xml:space="preserve">Dr. Stephen Joseph is a Lecturer of Nursing in the School of Health and Social Care. Stephen has a clinical background in adult and mental health nursing in Australian states, with experiences in acute inpatient, emergency responses, community care teams, case management settings, young person’s mental health, and coordinating a mental health support charity in London. His lecturing experience in the United Kingdom and Australia include health and social care, leadership and management in healthcare, and research skills at undergraduate and postgraduate levels. He has also provided supervision for Master dissertations in health and social care, and advice to doctoral students. Stephen is passionate about evidence-based approaches to holistic health care, health promotion via psycho-socio-cultural ambits, and innovation laden-evidence informed education in healthcare. Stephen’s doctorate applied one to one interview and focus group tools to investigate service user perspectives on their mental health experiences. This has guided his research into disparities in health outcomes, </w:t>
      </w:r>
      <w:r w:rsidRPr="007C71D1">
        <w:lastRenderedPageBreak/>
        <w:t>exploring triangle of care perspectives and preventative domains for holistic approaches to well-being. He has also worked in community participatory research, and played an active role in a major NIHR School of Social Care Research (SSCR) commissioned study into socially oriented approaches to recovery in mental health for minority ethnic communities in the United Kingdom.</w:t>
      </w:r>
    </w:p>
    <w:p w:rsidR="007C71D1" w:rsidRPr="007C71D1" w:rsidRDefault="007C71D1" w:rsidP="007C71D1">
      <w:pPr>
        <w:pStyle w:val="BodyText"/>
        <w:spacing w:line="259" w:lineRule="auto"/>
        <w:ind w:left="0"/>
        <w:rPr>
          <w:sz w:val="22"/>
          <w:szCs w:val="22"/>
        </w:rPr>
      </w:pPr>
      <w:r w:rsidRPr="007C71D1">
        <w:rPr>
          <w:sz w:val="22"/>
          <w:szCs w:val="22"/>
        </w:rPr>
        <w:t>T: +44 7501521944</w:t>
      </w:r>
      <w:r w:rsidRPr="007C71D1">
        <w:rPr>
          <w:spacing w:val="1"/>
          <w:sz w:val="22"/>
          <w:szCs w:val="22"/>
        </w:rPr>
        <w:t xml:space="preserve"> </w:t>
      </w:r>
      <w:r w:rsidRPr="007C71D1">
        <w:rPr>
          <w:sz w:val="22"/>
          <w:szCs w:val="22"/>
        </w:rPr>
        <w:t>E:</w:t>
      </w:r>
      <w:r w:rsidRPr="007C71D1">
        <w:rPr>
          <w:spacing w:val="-52"/>
          <w:sz w:val="22"/>
          <w:szCs w:val="22"/>
        </w:rPr>
        <w:t xml:space="preserve"> </w:t>
      </w:r>
      <w:hyperlink r:id="rId5">
        <w:r w:rsidRPr="007C71D1">
          <w:rPr>
            <w:color w:val="0462C1"/>
            <w:sz w:val="22"/>
            <w:szCs w:val="22"/>
            <w:u w:val="single" w:color="0462C1"/>
          </w:rPr>
          <w:t>stephenjoseph19@gmail.com</w:t>
        </w:r>
      </w:hyperlink>
    </w:p>
    <w:p w:rsidR="007C71D1" w:rsidRPr="007C71D1" w:rsidRDefault="007C71D1">
      <w:pPr>
        <w:pStyle w:val="BodyText"/>
        <w:spacing w:before="158" w:line="391" w:lineRule="auto"/>
        <w:ind w:left="1240" w:right="444" w:hanging="1140"/>
        <w:rPr>
          <w:sz w:val="22"/>
          <w:szCs w:val="22"/>
        </w:rPr>
      </w:pPr>
    </w:p>
    <w:sectPr w:rsidR="007C71D1" w:rsidRPr="007C71D1">
      <w:type w:val="continuous"/>
      <w:pgSz w:w="11910" w:h="16840"/>
      <w:pgMar w:top="138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0D57E0"/>
    <w:rsid w:val="000D57E0"/>
    <w:rsid w:val="007C71D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59"/>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2"/>
      <w:ind w:left="10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59"/>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2"/>
      <w:ind w:left="10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tephenjoseph19@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Joseph</dc:creator>
  <cp:lastModifiedBy>Global Summit on Affiliate Marketing</cp:lastModifiedBy>
  <cp:revision>2</cp:revision>
  <dcterms:created xsi:type="dcterms:W3CDTF">2023-02-22T04:21:00Z</dcterms:created>
  <dcterms:modified xsi:type="dcterms:W3CDTF">2023-02-22T04:21:00Z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2023-02-14T00:00:00Z</vt:filetime>
  </property>
  <property fmtid="{D5CDD505-2E9C-101B-9397-08002B2CF9AE}" pid="3" name="Creator">
    <vt:lpwstr>Microsoft® Word for Microsoft 365</vt:lpwstr>
  </property>
  <property fmtid="{D5CDD505-2E9C-101B-9397-08002B2CF9AE}" pid="4" name="LastSaved">
    <vt:filetime>2023-02-22T00:00:00Z</vt:filetime>
  </property>
</Properties>
</file>