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06E24" w14:textId="77777777" w:rsidR="00257633" w:rsidRPr="00257633" w:rsidRDefault="00257633" w:rsidP="00257633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7633">
        <w:rPr>
          <w:rFonts w:ascii="Times New Roman" w:eastAsia="Calibri" w:hAnsi="Times New Roman" w:cs="Times New Roman"/>
          <w:b/>
          <w:bCs/>
          <w:sz w:val="28"/>
          <w:szCs w:val="28"/>
        </w:rPr>
        <w:t>MgO nanopowders catalyzed synthesis of pyrano[4,3-d]thiazolo[3,2-a]pyrimidine derivatives</w:t>
      </w:r>
    </w:p>
    <w:p w14:paraId="583E37A7" w14:textId="4103C796" w:rsidR="00257633" w:rsidRPr="00257633" w:rsidRDefault="00257633" w:rsidP="004C7374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633">
        <w:rPr>
          <w:rFonts w:ascii="Times New Roman" w:eastAsia="Calibri" w:hAnsi="Times New Roman" w:cs="Times New Roman"/>
          <w:b/>
          <w:bCs/>
          <w:sz w:val="24"/>
          <w:szCs w:val="24"/>
        </w:rPr>
        <w:t>Mehdi Khalaj</w:t>
      </w:r>
      <w:r w:rsidRPr="00257633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val="de-DE"/>
        </w:rPr>
        <w:t>a</w:t>
      </w:r>
      <w:r w:rsidRPr="00257633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footnoteReference w:customMarkFollows="1" w:id="1"/>
        <w:t>*</w:t>
      </w:r>
      <w:r w:rsidRPr="0025763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02CFBB88" w14:textId="2A67270C" w:rsidR="00257633" w:rsidRPr="00257633" w:rsidRDefault="00257633" w:rsidP="00257633">
      <w:pPr>
        <w:spacing w:line="48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257633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a</w:t>
      </w:r>
      <w:bookmarkStart w:id="0" w:name="_GoBack"/>
      <w:r w:rsidRPr="00257633">
        <w:rPr>
          <w:rFonts w:ascii="Times New Roman" w:eastAsia="Calibri" w:hAnsi="Times New Roman" w:cs="Times New Roman"/>
          <w:i/>
          <w:iCs/>
          <w:sz w:val="24"/>
          <w:szCs w:val="24"/>
        </w:rPr>
        <w:t>Department of Chemistry, Buinzahra Branch, Islamic Azad University Buinzahra, Iran</w:t>
      </w:r>
    </w:p>
    <w:bookmarkEnd w:id="0"/>
    <w:p w14:paraId="7659F977" w14:textId="77777777" w:rsidR="00257633" w:rsidRPr="00257633" w:rsidRDefault="00257633" w:rsidP="00257633">
      <w:pPr>
        <w:spacing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rtl/>
          <w:lang w:bidi="fa-IR"/>
        </w:rPr>
      </w:pPr>
      <w:r w:rsidRPr="00257633">
        <w:rPr>
          <w:rFonts w:ascii="Times New Roman" w:eastAsia="Calibri" w:hAnsi="Times New Roman" w:cs="Times New Roman"/>
          <w:b/>
          <w:bCs/>
          <w:sz w:val="24"/>
          <w:szCs w:val="24"/>
        </w:rPr>
        <w:t>Abstract</w:t>
      </w:r>
    </w:p>
    <w:p w14:paraId="74C438C0" w14:textId="77777777" w:rsidR="00257633" w:rsidRPr="00257633" w:rsidRDefault="00257633" w:rsidP="00257633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633">
        <w:rPr>
          <w:rFonts w:ascii="Times New Roman" w:eastAsia="Calibri" w:hAnsi="Times New Roman" w:cs="Times New Roman"/>
          <w:sz w:val="24"/>
          <w:szCs w:val="24"/>
        </w:rPr>
        <w:t xml:space="preserve">A cubic phase of pure MgO nanopowders was prepared in an aqueous solution containing freshly squeezed orange juice with pulp and characterized by X-ray diffraction (XRD), field emission scanning electron microscopy (FE-SEM), energy-dispersive X-ray spectroscopy (EDS), and Fourier transform infrared (FT-IR) spectroscopic techniques. The catalytic potential of MgO nanopowders was evaluated in preparation of pyrano[4,3-d]thiazolo[3,2-a]pyrimidine and chromeno[4,3-d]thiazolo[3,2-a]pyrimidines derivatives using the three simple methods including thermal, ultrasonic irradiation, and high-speed ball milling (HSBM) technique under solvent-free conditions. All products were successfully formed in high yields. </w:t>
      </w:r>
    </w:p>
    <w:p w14:paraId="26C20B86" w14:textId="77777777" w:rsidR="00257633" w:rsidRPr="00257633" w:rsidRDefault="00257633" w:rsidP="00257633">
      <w:pPr>
        <w:spacing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633">
        <w:rPr>
          <w:rFonts w:ascii="Times New Roman" w:eastAsia="Calibri" w:hAnsi="Times New Roman" w:cs="Times New Roman"/>
          <w:b/>
          <w:bCs/>
          <w:sz w:val="24"/>
          <w:szCs w:val="24"/>
        </w:rPr>
        <w:t>Keywords:</w:t>
      </w:r>
    </w:p>
    <w:p w14:paraId="7D40CB33" w14:textId="77777777" w:rsidR="00257633" w:rsidRPr="00257633" w:rsidRDefault="00257633" w:rsidP="00257633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633">
        <w:rPr>
          <w:rFonts w:ascii="Times New Roman" w:eastAsia="Calibri" w:hAnsi="Times New Roman" w:cs="Times New Roman"/>
          <w:sz w:val="24"/>
          <w:szCs w:val="24"/>
        </w:rPr>
        <w:t>MgO Nanopowders; Pyrano[4,3-d]thiazolo[3,2-a]pyrimidine; Pyrimidines; HSBM technique; Pyran; Thiazolo[3,2-a]pyrimidine</w:t>
      </w:r>
    </w:p>
    <w:p w14:paraId="7778E67C" w14:textId="545DC7C2" w:rsidR="00553D02" w:rsidRPr="00553D02" w:rsidRDefault="00553D02" w:rsidP="00553D02">
      <w:pPr>
        <w:rPr>
          <w:b/>
          <w:rtl/>
          <w:lang w:val="en-NZ"/>
        </w:rPr>
      </w:pPr>
      <w:r w:rsidRPr="00553D02">
        <w:rPr>
          <w:b/>
        </w:rPr>
        <w:t>Recent Publications</w:t>
      </w:r>
    </w:p>
    <w:p w14:paraId="2C69B951" w14:textId="1963E7C1" w:rsidR="00553D02" w:rsidRPr="00553D02" w:rsidRDefault="00553D02" w:rsidP="00362F7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53D02">
        <w:rPr>
          <w:rFonts w:asciiTheme="majorBidi" w:hAnsiTheme="majorBidi" w:cstheme="majorBidi"/>
          <w:sz w:val="24"/>
          <w:szCs w:val="24"/>
        </w:rPr>
        <w:lastRenderedPageBreak/>
        <w:t xml:space="preserve">Amr, A.-E.-G.,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Maigali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S.S., Abdulla, M.M., 2008. Synthesis,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sz w:val="24"/>
          <w:szCs w:val="24"/>
        </w:rPr>
        <w:t>analgesic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553D02">
        <w:rPr>
          <w:rFonts w:asciiTheme="majorBidi" w:hAnsiTheme="majorBidi" w:cstheme="majorBidi"/>
          <w:sz w:val="24"/>
          <w:szCs w:val="24"/>
        </w:rPr>
        <w:t xml:space="preserve">antiparkinsonian activities of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thiopyrimidine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pyrane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pyrazoline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thiazolopyrimidine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 derivatives from 2-chloro- 6-ethoxy-4-acetylpyridine. Monatsh. Chem. 139, 1409–1415.</w:t>
      </w:r>
    </w:p>
    <w:p w14:paraId="706B41E0" w14:textId="4174767B" w:rsidR="00553D02" w:rsidRPr="00553D02" w:rsidRDefault="00553D02" w:rsidP="00362F7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53D02">
        <w:rPr>
          <w:rFonts w:asciiTheme="majorBidi" w:hAnsiTheme="majorBidi" w:cstheme="majorBidi"/>
          <w:sz w:val="24"/>
          <w:szCs w:val="24"/>
        </w:rPr>
        <w:t>Arya, K., Kumar, S., Arya, A.K., Kumar, M., 2018. Ionic Liquid [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PyN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>(CH</w:t>
      </w:r>
      <w:r w:rsidRPr="00362F74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553D02">
        <w:rPr>
          <w:rFonts w:asciiTheme="majorBidi" w:hAnsiTheme="majorBidi" w:cstheme="majorBidi"/>
          <w:sz w:val="24"/>
          <w:szCs w:val="24"/>
        </w:rPr>
        <w:t>)</w:t>
      </w:r>
      <w:r w:rsidRPr="00362F74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553D02">
        <w:rPr>
          <w:rFonts w:asciiTheme="majorBidi" w:hAnsiTheme="majorBidi" w:cstheme="majorBidi"/>
          <w:sz w:val="24"/>
          <w:szCs w:val="24"/>
        </w:rPr>
        <w:t>SO</w:t>
      </w:r>
      <w:r w:rsidRPr="00362F74">
        <w:rPr>
          <w:rFonts w:asciiTheme="majorBidi" w:hAnsiTheme="majorBidi" w:cstheme="majorBidi"/>
          <w:sz w:val="24"/>
          <w:szCs w:val="24"/>
          <w:vertAlign w:val="subscript"/>
        </w:rPr>
        <w:t>3</w:t>
      </w:r>
      <w:proofErr w:type="gramStart"/>
      <w:r w:rsidRPr="00553D02">
        <w:rPr>
          <w:rFonts w:asciiTheme="majorBidi" w:hAnsiTheme="majorBidi" w:cstheme="majorBidi"/>
          <w:sz w:val="24"/>
          <w:szCs w:val="24"/>
        </w:rPr>
        <w:t>H][</w:t>
      </w:r>
      <w:proofErr w:type="gramEnd"/>
      <w:r w:rsidRPr="00553D02">
        <w:rPr>
          <w:rFonts w:asciiTheme="majorBidi" w:hAnsiTheme="majorBidi" w:cstheme="majorBidi"/>
          <w:sz w:val="24"/>
          <w:szCs w:val="24"/>
        </w:rPr>
        <w:t>CH</w:t>
      </w:r>
      <w:r w:rsidRPr="00362F74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553D02">
        <w:rPr>
          <w:rFonts w:asciiTheme="majorBidi" w:hAnsiTheme="majorBidi" w:cstheme="majorBidi"/>
          <w:sz w:val="24"/>
          <w:szCs w:val="24"/>
        </w:rPr>
        <w:t>PhSO</w:t>
      </w:r>
      <w:r w:rsidRPr="00362F74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553D02">
        <w:rPr>
          <w:rFonts w:asciiTheme="majorBidi" w:hAnsiTheme="majorBidi" w:cstheme="majorBidi"/>
          <w:sz w:val="24"/>
          <w:szCs w:val="24"/>
        </w:rPr>
        <w:t>] Mediated &amp; Promoted Eco-Friendly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53D02">
        <w:rPr>
          <w:rFonts w:asciiTheme="majorBidi" w:hAnsiTheme="majorBidi" w:cstheme="majorBidi"/>
          <w:sz w:val="24"/>
          <w:szCs w:val="24"/>
        </w:rPr>
        <w:t xml:space="preserve">One-Pot Domino Synthesis of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Benzothiazolopyrano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/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Chromenopyrimidine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53D02">
        <w:rPr>
          <w:rFonts w:asciiTheme="majorBidi" w:hAnsiTheme="majorBidi" w:cstheme="majorBidi"/>
          <w:sz w:val="24"/>
          <w:szCs w:val="24"/>
        </w:rPr>
        <w:t xml:space="preserve">Derivatives.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Curr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Organocatal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>. 5, 222–228.</w:t>
      </w:r>
    </w:p>
    <w:p w14:paraId="26738A7A" w14:textId="5B2C3B6A" w:rsidR="00553D02" w:rsidRDefault="00553D02" w:rsidP="00362F7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553D02">
        <w:rPr>
          <w:rFonts w:asciiTheme="majorBidi" w:hAnsiTheme="majorBidi" w:cstheme="majorBidi"/>
          <w:sz w:val="24"/>
          <w:szCs w:val="24"/>
        </w:rPr>
        <w:t>Asgari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G.,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Seidmohammadi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A.,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Esrafili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A.,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Faradmal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J.,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Noori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Sepehr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M.,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Jafarinia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, M., 2020. The catalytic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ozonation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diazinon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 using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nano-MgO@CNT@Gr</w:t>
      </w:r>
      <w:proofErr w:type="spellEnd"/>
      <w:r w:rsidRPr="00553D02">
        <w:rPr>
          <w:rFonts w:asciiTheme="majorBidi" w:hAnsiTheme="majorBidi" w:cstheme="majorBidi"/>
          <w:sz w:val="24"/>
          <w:szCs w:val="24"/>
        </w:rPr>
        <w:t xml:space="preserve"> as a new </w:t>
      </w:r>
      <w:proofErr w:type="spellStart"/>
      <w:r w:rsidRPr="00553D02">
        <w:rPr>
          <w:rFonts w:asciiTheme="majorBidi" w:hAnsiTheme="majorBidi" w:cstheme="majorBidi"/>
          <w:sz w:val="24"/>
          <w:szCs w:val="24"/>
        </w:rPr>
        <w:t>heterogenous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53D02">
        <w:rPr>
          <w:rFonts w:asciiTheme="majorBidi" w:hAnsiTheme="majorBidi" w:cstheme="majorBidi"/>
          <w:sz w:val="24"/>
          <w:szCs w:val="24"/>
        </w:rPr>
        <w:t>catalyst: the optimization of effective factors by response surface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53D02">
        <w:rPr>
          <w:rFonts w:asciiTheme="majorBidi" w:hAnsiTheme="majorBidi" w:cstheme="majorBidi"/>
          <w:sz w:val="24"/>
          <w:szCs w:val="24"/>
        </w:rPr>
        <w:t>methodology. RSC Adv. 10, 7718–7731.</w:t>
      </w:r>
    </w:p>
    <w:p w14:paraId="766699FC" w14:textId="1E111E71" w:rsidR="00553D02" w:rsidRDefault="00553D02" w:rsidP="00362F7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362F74">
        <w:rPr>
          <w:rFonts w:asciiTheme="majorBidi" w:hAnsiTheme="majorBidi" w:cstheme="majorBidi"/>
          <w:sz w:val="24"/>
          <w:szCs w:val="24"/>
        </w:rPr>
        <w:t>Bhaskaruni</w:t>
      </w:r>
      <w:proofErr w:type="spellEnd"/>
      <w:r w:rsidRPr="00362F74">
        <w:rPr>
          <w:rFonts w:asciiTheme="majorBidi" w:hAnsiTheme="majorBidi" w:cstheme="majorBidi"/>
          <w:sz w:val="24"/>
          <w:szCs w:val="24"/>
        </w:rPr>
        <w:t xml:space="preserve">, S.V.H.S., </w:t>
      </w:r>
      <w:proofErr w:type="spellStart"/>
      <w:r w:rsidRPr="00362F74">
        <w:rPr>
          <w:rFonts w:asciiTheme="majorBidi" w:hAnsiTheme="majorBidi" w:cstheme="majorBidi"/>
          <w:sz w:val="24"/>
          <w:szCs w:val="24"/>
        </w:rPr>
        <w:t>Maddila</w:t>
      </w:r>
      <w:proofErr w:type="spellEnd"/>
      <w:r w:rsidRPr="00362F74">
        <w:rPr>
          <w:rFonts w:asciiTheme="majorBidi" w:hAnsiTheme="majorBidi" w:cstheme="majorBidi"/>
          <w:sz w:val="24"/>
          <w:szCs w:val="24"/>
        </w:rPr>
        <w:t xml:space="preserve">, S., </w:t>
      </w:r>
      <w:proofErr w:type="spellStart"/>
      <w:r w:rsidRPr="00362F74">
        <w:rPr>
          <w:rFonts w:asciiTheme="majorBidi" w:hAnsiTheme="majorBidi" w:cstheme="majorBidi"/>
          <w:sz w:val="24"/>
          <w:szCs w:val="24"/>
        </w:rPr>
        <w:t>Gangu</w:t>
      </w:r>
      <w:proofErr w:type="spellEnd"/>
      <w:r w:rsidRPr="00362F74">
        <w:rPr>
          <w:rFonts w:asciiTheme="majorBidi" w:hAnsiTheme="majorBidi" w:cstheme="majorBidi"/>
          <w:sz w:val="24"/>
          <w:szCs w:val="24"/>
        </w:rPr>
        <w:t xml:space="preserve">, K.K., </w:t>
      </w:r>
      <w:proofErr w:type="spellStart"/>
      <w:r w:rsidRPr="00362F74">
        <w:rPr>
          <w:rFonts w:asciiTheme="majorBidi" w:hAnsiTheme="majorBidi" w:cstheme="majorBidi"/>
          <w:sz w:val="24"/>
          <w:szCs w:val="24"/>
        </w:rPr>
        <w:t>Jonnalagadda</w:t>
      </w:r>
      <w:proofErr w:type="spellEnd"/>
      <w:r w:rsidRPr="00362F74">
        <w:rPr>
          <w:rFonts w:asciiTheme="majorBidi" w:hAnsiTheme="majorBidi" w:cstheme="majorBidi"/>
          <w:sz w:val="24"/>
          <w:szCs w:val="24"/>
        </w:rPr>
        <w:t>, S.B.,2020. A review on multi-component green synthesis of N-containing</w:t>
      </w:r>
      <w:r w:rsidR="00362F74">
        <w:rPr>
          <w:rFonts w:asciiTheme="majorBidi" w:hAnsiTheme="majorBidi" w:cstheme="majorBidi"/>
          <w:sz w:val="24"/>
          <w:szCs w:val="24"/>
        </w:rPr>
        <w:t xml:space="preserve"> </w:t>
      </w:r>
      <w:r w:rsidRPr="00362F74">
        <w:rPr>
          <w:rFonts w:asciiTheme="majorBidi" w:hAnsiTheme="majorBidi" w:cstheme="majorBidi"/>
          <w:sz w:val="24"/>
          <w:szCs w:val="24"/>
        </w:rPr>
        <w:t>heterocycles using mixed oxides as heterogeneous catalysts.</w:t>
      </w:r>
      <w:r w:rsidR="00362F74">
        <w:rPr>
          <w:rFonts w:asciiTheme="majorBidi" w:hAnsiTheme="majorBidi" w:cstheme="majorBidi"/>
          <w:sz w:val="24"/>
          <w:szCs w:val="24"/>
        </w:rPr>
        <w:t xml:space="preserve"> </w:t>
      </w:r>
      <w:r w:rsidRPr="00362F74">
        <w:rPr>
          <w:rFonts w:asciiTheme="majorBidi" w:hAnsiTheme="majorBidi" w:cstheme="majorBidi"/>
          <w:sz w:val="24"/>
          <w:szCs w:val="24"/>
        </w:rPr>
        <w:t>Arab. J. Chem. 13, 1142–1178.</w:t>
      </w:r>
    </w:p>
    <w:p w14:paraId="4F42C1C1" w14:textId="7A70F9DB" w:rsidR="00553D02" w:rsidRPr="00362F74" w:rsidRDefault="00553D02" w:rsidP="00362F7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362F74">
        <w:rPr>
          <w:rFonts w:asciiTheme="majorBidi" w:hAnsiTheme="majorBidi" w:cstheme="majorBidi"/>
          <w:sz w:val="24"/>
          <w:szCs w:val="24"/>
        </w:rPr>
        <w:t xml:space="preserve">Cumming, J.G., </w:t>
      </w:r>
      <w:proofErr w:type="spellStart"/>
      <w:r w:rsidRPr="00362F74">
        <w:rPr>
          <w:rFonts w:asciiTheme="majorBidi" w:hAnsiTheme="majorBidi" w:cstheme="majorBidi"/>
          <w:sz w:val="24"/>
          <w:szCs w:val="24"/>
        </w:rPr>
        <w:t>Mckenzie</w:t>
      </w:r>
      <w:proofErr w:type="spellEnd"/>
      <w:r w:rsidRPr="00362F74">
        <w:rPr>
          <w:rFonts w:asciiTheme="majorBidi" w:hAnsiTheme="majorBidi" w:cstheme="majorBidi"/>
          <w:sz w:val="24"/>
          <w:szCs w:val="24"/>
        </w:rPr>
        <w:t xml:space="preserve">, C.L., Bowden, S.G., Campbell, </w:t>
      </w:r>
      <w:proofErr w:type="spellStart"/>
      <w:proofErr w:type="gramStart"/>
      <w:r w:rsidRPr="00362F74">
        <w:rPr>
          <w:rFonts w:asciiTheme="majorBidi" w:hAnsiTheme="majorBidi" w:cstheme="majorBidi"/>
          <w:sz w:val="24"/>
          <w:szCs w:val="24"/>
        </w:rPr>
        <w:t>D.,Masters</w:t>
      </w:r>
      <w:proofErr w:type="spellEnd"/>
      <w:proofErr w:type="gramEnd"/>
      <w:r w:rsidRPr="00362F74">
        <w:rPr>
          <w:rFonts w:asciiTheme="majorBidi" w:hAnsiTheme="majorBidi" w:cstheme="majorBidi"/>
          <w:sz w:val="24"/>
          <w:szCs w:val="24"/>
        </w:rPr>
        <w:t xml:space="preserve">, D.J., Breed, J., </w:t>
      </w:r>
      <w:proofErr w:type="spellStart"/>
      <w:r w:rsidRPr="00362F74">
        <w:rPr>
          <w:rFonts w:asciiTheme="majorBidi" w:hAnsiTheme="majorBidi" w:cstheme="majorBidi"/>
          <w:sz w:val="24"/>
          <w:szCs w:val="24"/>
        </w:rPr>
        <w:t>Jewsbury</w:t>
      </w:r>
      <w:proofErr w:type="spellEnd"/>
      <w:r w:rsidRPr="00362F74">
        <w:rPr>
          <w:rFonts w:asciiTheme="majorBidi" w:hAnsiTheme="majorBidi" w:cstheme="majorBidi"/>
          <w:sz w:val="24"/>
          <w:szCs w:val="24"/>
        </w:rPr>
        <w:t>, P.J., 2004. Novel, potent and</w:t>
      </w:r>
      <w:r w:rsidR="00362F74">
        <w:rPr>
          <w:rFonts w:asciiTheme="majorBidi" w:hAnsiTheme="majorBidi" w:cstheme="majorBidi"/>
          <w:sz w:val="24"/>
          <w:szCs w:val="24"/>
        </w:rPr>
        <w:t xml:space="preserve"> </w:t>
      </w:r>
      <w:r w:rsidRPr="00362F74">
        <w:rPr>
          <w:rFonts w:asciiTheme="majorBidi" w:hAnsiTheme="majorBidi" w:cstheme="majorBidi"/>
          <w:sz w:val="24"/>
          <w:szCs w:val="24"/>
        </w:rPr>
        <w:t>s</w:t>
      </w:r>
      <w:r w:rsidR="00362F74">
        <w:rPr>
          <w:rFonts w:asciiTheme="majorBidi" w:hAnsiTheme="majorBidi" w:cstheme="majorBidi"/>
          <w:sz w:val="24"/>
          <w:szCs w:val="24"/>
        </w:rPr>
        <w:t xml:space="preserve">elective </w:t>
      </w:r>
      <w:proofErr w:type="spellStart"/>
      <w:r w:rsidR="00362F74">
        <w:rPr>
          <w:rFonts w:asciiTheme="majorBidi" w:hAnsiTheme="majorBidi" w:cstheme="majorBidi"/>
          <w:sz w:val="24"/>
          <w:szCs w:val="24"/>
        </w:rPr>
        <w:t>anilinoquinazoline</w:t>
      </w:r>
      <w:proofErr w:type="spellEnd"/>
      <w:r w:rsidR="00362F74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362F74">
        <w:rPr>
          <w:rFonts w:asciiTheme="majorBidi" w:hAnsiTheme="majorBidi" w:cstheme="majorBidi"/>
          <w:sz w:val="24"/>
          <w:szCs w:val="24"/>
        </w:rPr>
        <w:t>anilinopyrimidine</w:t>
      </w:r>
      <w:proofErr w:type="spellEnd"/>
      <w:r w:rsidRPr="00362F74">
        <w:rPr>
          <w:rFonts w:asciiTheme="majorBidi" w:hAnsiTheme="majorBidi" w:cstheme="majorBidi"/>
          <w:sz w:val="24"/>
          <w:szCs w:val="24"/>
        </w:rPr>
        <w:t xml:space="preserve"> inhibitors of p38</w:t>
      </w:r>
      <w:r w:rsidR="00362F74">
        <w:rPr>
          <w:rFonts w:asciiTheme="majorBidi" w:hAnsiTheme="majorBidi" w:cstheme="majorBidi"/>
          <w:sz w:val="24"/>
          <w:szCs w:val="24"/>
        </w:rPr>
        <w:t xml:space="preserve"> </w:t>
      </w:r>
      <w:r w:rsidRPr="00362F74">
        <w:rPr>
          <w:rFonts w:asciiTheme="majorBidi" w:hAnsiTheme="majorBidi" w:cstheme="majorBidi"/>
          <w:sz w:val="24"/>
          <w:szCs w:val="24"/>
        </w:rPr>
        <w:t xml:space="preserve">MAP kinase. </w:t>
      </w:r>
      <w:proofErr w:type="spellStart"/>
      <w:r w:rsidRPr="00362F74">
        <w:rPr>
          <w:rFonts w:asciiTheme="majorBidi" w:hAnsiTheme="majorBidi" w:cstheme="majorBidi"/>
          <w:sz w:val="24"/>
          <w:szCs w:val="24"/>
        </w:rPr>
        <w:t>Bioorg</w:t>
      </w:r>
      <w:proofErr w:type="spellEnd"/>
      <w:r w:rsidRPr="00362F74">
        <w:rPr>
          <w:rFonts w:asciiTheme="majorBidi" w:hAnsiTheme="majorBidi" w:cstheme="majorBidi"/>
          <w:sz w:val="24"/>
          <w:szCs w:val="24"/>
        </w:rPr>
        <w:t>. Med. Chem. Lett. 14, 5389–5394.</w:t>
      </w:r>
    </w:p>
    <w:p w14:paraId="2E128CDE" w14:textId="77777777" w:rsidR="00553D02" w:rsidRDefault="00553D02" w:rsidP="00553D02">
      <w:pPr>
        <w:rPr>
          <w:b/>
          <w:rtl/>
          <w:lang w:val="en-NZ"/>
        </w:rPr>
      </w:pPr>
    </w:p>
    <w:p w14:paraId="55455658" w14:textId="4F0FD95C" w:rsidR="009227B3" w:rsidRPr="00362F74" w:rsidRDefault="00553D02" w:rsidP="00553D02">
      <w:pPr>
        <w:rPr>
          <w:rFonts w:asciiTheme="majorBidi" w:hAnsiTheme="majorBidi" w:cstheme="majorBidi"/>
          <w:b/>
          <w:sz w:val="24"/>
          <w:szCs w:val="24"/>
          <w:rtl/>
          <w:lang w:val="en-NZ"/>
        </w:rPr>
      </w:pPr>
      <w:r w:rsidRPr="00362F74">
        <w:rPr>
          <w:rFonts w:asciiTheme="majorBidi" w:hAnsiTheme="majorBidi" w:cstheme="majorBidi"/>
          <w:b/>
          <w:sz w:val="24"/>
          <w:szCs w:val="24"/>
          <w:lang w:val="en-NZ"/>
        </w:rPr>
        <w:t>Presenting author details</w:t>
      </w:r>
    </w:p>
    <w:p w14:paraId="4581AF33" w14:textId="77777777" w:rsidR="00553D02" w:rsidRPr="00362F74" w:rsidRDefault="00553D02" w:rsidP="00362F7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eastAsia="Tw Cen MT" w:hAnsiTheme="majorBidi" w:cstheme="majorBidi"/>
          <w:sz w:val="24"/>
          <w:szCs w:val="24"/>
        </w:rPr>
      </w:pPr>
      <w:r w:rsidRPr="00553D02">
        <w:rPr>
          <w:rFonts w:asciiTheme="majorBidi" w:eastAsia="Tw Cen MT" w:hAnsiTheme="majorBidi" w:cstheme="majorBidi"/>
          <w:sz w:val="24"/>
          <w:szCs w:val="24"/>
          <w:lang w:val="en-NZ"/>
        </w:rPr>
        <w:t xml:space="preserve">Full name: </w:t>
      </w:r>
      <w:r w:rsidRPr="00362F74">
        <w:rPr>
          <w:rFonts w:asciiTheme="majorBidi" w:eastAsia="Tw Cen MT" w:hAnsiTheme="majorBidi" w:cstheme="majorBidi"/>
          <w:sz w:val="24"/>
          <w:szCs w:val="24"/>
          <w:lang w:val="en-NZ"/>
        </w:rPr>
        <w:t>Mehdi Khalaj</w:t>
      </w:r>
    </w:p>
    <w:p w14:paraId="441B59D2" w14:textId="6C810F5E" w:rsidR="00553D02" w:rsidRPr="00362F74" w:rsidRDefault="00553D02" w:rsidP="00362F7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eastAsia="Tw Cen MT" w:hAnsiTheme="majorBidi" w:cstheme="majorBidi"/>
          <w:sz w:val="24"/>
          <w:szCs w:val="24"/>
        </w:rPr>
      </w:pPr>
      <w:r w:rsidRPr="00362F74">
        <w:rPr>
          <w:rFonts w:asciiTheme="majorBidi" w:eastAsia="Tw Cen MT" w:hAnsiTheme="majorBidi" w:cstheme="majorBidi"/>
          <w:sz w:val="24"/>
          <w:szCs w:val="24"/>
          <w:lang w:val="en-NZ"/>
        </w:rPr>
        <w:t>Mobile Number*:0098912</w:t>
      </w:r>
      <w:r w:rsidRPr="00362F74">
        <w:rPr>
          <w:rFonts w:asciiTheme="majorBidi" w:eastAsia="Tw Cen MT" w:hAnsiTheme="majorBidi" w:cstheme="majorBidi"/>
          <w:sz w:val="24"/>
          <w:szCs w:val="24"/>
        </w:rPr>
        <w:t>6616507</w:t>
      </w:r>
    </w:p>
    <w:p w14:paraId="685198BD" w14:textId="77777777" w:rsidR="00553D02" w:rsidRPr="00362F74" w:rsidRDefault="00553D02" w:rsidP="00362F7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eastAsia="Tw Cen MT" w:hAnsiTheme="majorBidi" w:cstheme="majorBidi"/>
          <w:sz w:val="24"/>
          <w:szCs w:val="24"/>
        </w:rPr>
      </w:pPr>
      <w:r w:rsidRPr="00362F74">
        <w:rPr>
          <w:rFonts w:asciiTheme="majorBidi" w:eastAsia="Tw Cen MT" w:hAnsiTheme="majorBidi" w:cstheme="majorBidi"/>
          <w:sz w:val="24"/>
          <w:szCs w:val="24"/>
        </w:rPr>
        <w:t>Category*: Oral Presentation</w:t>
      </w:r>
    </w:p>
    <w:p w14:paraId="1D5D877E" w14:textId="77777777" w:rsidR="00553D02" w:rsidRPr="00362F74" w:rsidRDefault="00553D02" w:rsidP="00362F7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eastAsia="Tw Cen MT" w:hAnsiTheme="majorBidi" w:cstheme="majorBidi"/>
          <w:sz w:val="24"/>
          <w:szCs w:val="24"/>
        </w:rPr>
      </w:pPr>
      <w:r w:rsidRPr="00362F74">
        <w:rPr>
          <w:rFonts w:asciiTheme="majorBidi" w:eastAsia="Tw Cen MT" w:hAnsiTheme="majorBidi" w:cstheme="majorBidi"/>
          <w:sz w:val="24"/>
          <w:szCs w:val="24"/>
        </w:rPr>
        <w:t>Research Interest*: catalyst, organic synthesis</w:t>
      </w:r>
    </w:p>
    <w:p w14:paraId="2823B7C7" w14:textId="77777777" w:rsidR="00553D02" w:rsidRPr="00362F74" w:rsidRDefault="00553D02" w:rsidP="00362F7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eastAsia="Tw Cen MT" w:hAnsiTheme="majorBidi" w:cstheme="majorBidi"/>
          <w:sz w:val="24"/>
          <w:szCs w:val="24"/>
        </w:rPr>
      </w:pPr>
      <w:r w:rsidRPr="00362F74">
        <w:rPr>
          <w:rFonts w:asciiTheme="majorBidi" w:eastAsia="Tw Cen MT" w:hAnsiTheme="majorBidi" w:cstheme="majorBidi"/>
          <w:sz w:val="24"/>
          <w:szCs w:val="24"/>
        </w:rPr>
        <w:t>Fax No:00982834226118</w:t>
      </w:r>
    </w:p>
    <w:p w14:paraId="5114D088" w14:textId="7F0A2ADD" w:rsidR="00553D02" w:rsidRPr="00553D02" w:rsidRDefault="00553D02" w:rsidP="00553D02">
      <w:pPr>
        <w:widowControl w:val="0"/>
        <w:autoSpaceDE w:val="0"/>
        <w:autoSpaceDN w:val="0"/>
        <w:adjustRightInd w:val="0"/>
        <w:spacing w:after="0" w:line="240" w:lineRule="auto"/>
      </w:pPr>
    </w:p>
    <w:sectPr w:rsidR="00553D02" w:rsidRPr="00553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5FA9E" w14:textId="77777777" w:rsidR="00BB1D34" w:rsidRDefault="00BB1D34" w:rsidP="00257633">
      <w:pPr>
        <w:spacing w:after="0" w:line="240" w:lineRule="auto"/>
      </w:pPr>
      <w:r>
        <w:separator/>
      </w:r>
    </w:p>
  </w:endnote>
  <w:endnote w:type="continuationSeparator" w:id="0">
    <w:p w14:paraId="4E122E12" w14:textId="77777777" w:rsidR="00BB1D34" w:rsidRDefault="00BB1D34" w:rsidP="00257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31381" w14:textId="77777777" w:rsidR="00BB1D34" w:rsidRDefault="00BB1D34" w:rsidP="00257633">
      <w:pPr>
        <w:spacing w:after="0" w:line="240" w:lineRule="auto"/>
      </w:pPr>
      <w:r>
        <w:separator/>
      </w:r>
    </w:p>
  </w:footnote>
  <w:footnote w:type="continuationSeparator" w:id="0">
    <w:p w14:paraId="19180358" w14:textId="77777777" w:rsidR="00BB1D34" w:rsidRDefault="00BB1D34" w:rsidP="00257633">
      <w:pPr>
        <w:spacing w:after="0" w:line="240" w:lineRule="auto"/>
      </w:pPr>
      <w:r>
        <w:continuationSeparator/>
      </w:r>
    </w:p>
  </w:footnote>
  <w:footnote w:id="1">
    <w:p w14:paraId="39C05438" w14:textId="77777777" w:rsidR="00257633" w:rsidRPr="00257633" w:rsidRDefault="00257633" w:rsidP="00257633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  <w:r w:rsidRPr="00257633">
        <w:rPr>
          <w:rStyle w:val="FootnoteReference"/>
          <w:rFonts w:ascii="Times New Roman" w:hAnsi="Times New Roman" w:cs="Times New Roman"/>
          <w:sz w:val="20"/>
          <w:szCs w:val="20"/>
        </w:rPr>
        <w:t>*</w:t>
      </w:r>
      <w:r w:rsidRPr="00257633">
        <w:rPr>
          <w:rFonts w:ascii="Times New Roman" w:hAnsi="Times New Roman" w:cs="Times New Roman"/>
          <w:sz w:val="20"/>
          <w:szCs w:val="20"/>
        </w:rPr>
        <w:t xml:space="preserve">Corresponding author. </w:t>
      </w:r>
      <w:r w:rsidRPr="00257633">
        <w:rPr>
          <w:rFonts w:ascii="Times New Roman" w:hAnsi="Times New Roman" w:cs="Times New Roman"/>
          <w:sz w:val="20"/>
          <w:szCs w:val="20"/>
          <w:lang w:val="pt-PT"/>
        </w:rPr>
        <w:t xml:space="preserve">Tel.: +98 2834226112; Fax: +98 2834226118. </w:t>
      </w:r>
    </w:p>
    <w:p w14:paraId="226BC961" w14:textId="77777777" w:rsidR="00257633" w:rsidRPr="00253317" w:rsidRDefault="00257633" w:rsidP="00257633">
      <w:pPr>
        <w:spacing w:line="360" w:lineRule="auto"/>
        <w:rPr>
          <w:color w:val="FF0000"/>
          <w:sz w:val="20"/>
          <w:szCs w:val="20"/>
          <w:lang w:val="pt-PT"/>
        </w:rPr>
      </w:pPr>
      <w:r w:rsidRPr="00257633">
        <w:rPr>
          <w:rFonts w:ascii="Times New Roman" w:hAnsi="Times New Roman" w:cs="Times New Roman"/>
          <w:i/>
          <w:iCs/>
          <w:sz w:val="20"/>
          <w:szCs w:val="20"/>
          <w:lang w:val="pt-PT"/>
        </w:rPr>
        <w:t>E-mail address:</w:t>
      </w:r>
      <w:r w:rsidRPr="00257633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r w:rsidRPr="00257633">
        <w:rPr>
          <w:rFonts w:ascii="Times New Roman" w:hAnsi="Times New Roman" w:cs="Times New Roman"/>
          <w:sz w:val="20"/>
          <w:szCs w:val="20"/>
        </w:rPr>
        <w:t>Khalaj_mehdi@yahoo.com</w:t>
      </w:r>
      <w:r w:rsidRPr="00257633">
        <w:rPr>
          <w:rFonts w:ascii="Times New Roman" w:hAnsi="Times New Roman" w:cs="Times New Roman"/>
          <w:sz w:val="20"/>
          <w:szCs w:val="20"/>
          <w:lang w:val="pt-PT"/>
        </w:rPr>
        <w:t xml:space="preserve"> (M. Khalaj).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C5DA3"/>
    <w:multiLevelType w:val="hybridMultilevel"/>
    <w:tmpl w:val="1624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32EC4"/>
    <w:multiLevelType w:val="hybridMultilevel"/>
    <w:tmpl w:val="14205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33"/>
    <w:rsid w:val="00257633"/>
    <w:rsid w:val="00362F74"/>
    <w:rsid w:val="003A2583"/>
    <w:rsid w:val="004C7374"/>
    <w:rsid w:val="00553D02"/>
    <w:rsid w:val="006E1129"/>
    <w:rsid w:val="009227B3"/>
    <w:rsid w:val="00BB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05E83"/>
  <w15:chartTrackingRefBased/>
  <w15:docId w15:val="{0135568C-96D7-477F-ABA3-91224C68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257633"/>
    <w:rPr>
      <w:vertAlign w:val="superscript"/>
    </w:rPr>
  </w:style>
  <w:style w:type="paragraph" w:styleId="ListParagraph">
    <w:name w:val="List Paragraph"/>
    <w:basedOn w:val="Normal"/>
    <w:uiPriority w:val="34"/>
    <w:qFormat/>
    <w:rsid w:val="00553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3</cp:revision>
  <dcterms:created xsi:type="dcterms:W3CDTF">2022-11-01T23:54:00Z</dcterms:created>
  <dcterms:modified xsi:type="dcterms:W3CDTF">2023-01-27T18:06:00Z</dcterms:modified>
</cp:coreProperties>
</file>