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>
          <w:color w:val="4F81BC"/>
        </w:rPr>
        <w:t>Barriers to Quality Oral Health Care among Elderly (Geriatric)</w:t>
      </w:r>
      <w:r>
        <w:rPr>
          <w:color w:val="4F81BC"/>
          <w:spacing w:val="1"/>
        </w:rPr>
        <w:t> </w:t>
      </w:r>
      <w:r>
        <w:rPr>
          <w:color w:val="4F81BC"/>
        </w:rPr>
        <w:t>Patients</w:t>
      </w:r>
      <w:r>
        <w:rPr>
          <w:color w:val="4F81BC"/>
          <w:spacing w:val="-1"/>
        </w:rPr>
        <w:t> </w:t>
      </w:r>
      <w:r>
        <w:rPr>
          <w:color w:val="4F81BC"/>
        </w:rPr>
        <w:t>in</w:t>
      </w:r>
      <w:r>
        <w:rPr>
          <w:color w:val="4F81BC"/>
          <w:spacing w:val="-2"/>
        </w:rPr>
        <w:t> </w:t>
      </w:r>
      <w:r>
        <w:rPr>
          <w:color w:val="4F81BC"/>
        </w:rPr>
        <w:t>a</w:t>
      </w:r>
      <w:r>
        <w:rPr>
          <w:color w:val="4F81BC"/>
          <w:spacing w:val="1"/>
        </w:rPr>
        <w:t> </w:t>
      </w:r>
      <w:r>
        <w:rPr>
          <w:color w:val="4F81BC"/>
        </w:rPr>
        <w:t>southwestern Nigerian</w:t>
      </w:r>
      <w:r>
        <w:rPr>
          <w:color w:val="4F81BC"/>
          <w:spacing w:val="-2"/>
        </w:rPr>
        <w:t> </w:t>
      </w:r>
      <w:r>
        <w:rPr>
          <w:color w:val="4F81BC"/>
        </w:rPr>
        <w:t>state.</w:t>
      </w:r>
    </w:p>
    <w:p>
      <w:pPr>
        <w:pStyle w:val="Heading2"/>
        <w:spacing w:line="276" w:lineRule="exact"/>
        <w:jc w:val="both"/>
      </w:pPr>
      <w:r>
        <w:rPr/>
        <w:t>Presenter;</w:t>
      </w:r>
      <w:r>
        <w:rPr>
          <w:spacing w:val="-3"/>
        </w:rPr>
        <w:t> </w:t>
      </w:r>
      <w:r>
        <w:rPr/>
        <w:t>Balogun</w:t>
      </w:r>
      <w:r>
        <w:rPr>
          <w:spacing w:val="-2"/>
        </w:rPr>
        <w:t> </w:t>
      </w:r>
      <w:r>
        <w:rPr/>
        <w:t>A.O,</w:t>
      </w:r>
      <w:r>
        <w:rPr>
          <w:spacing w:val="-2"/>
        </w:rPr>
        <w:t> </w:t>
      </w:r>
      <w:r>
        <w:rPr/>
        <w:t>BDS,FMCFD</w:t>
      </w:r>
    </w:p>
    <w:p>
      <w:pPr>
        <w:pStyle w:val="BodyText"/>
        <w:spacing w:before="5"/>
        <w:rPr>
          <w:b/>
          <w:sz w:val="20"/>
        </w:rPr>
      </w:pPr>
    </w:p>
    <w:p>
      <w:pPr>
        <w:pStyle w:val="BodyText"/>
        <w:spacing w:line="360" w:lineRule="auto"/>
        <w:ind w:left="140" w:right="135"/>
        <w:jc w:val="both"/>
      </w:pPr>
      <w:r>
        <w:rPr/>
        <w:t>Statement of the problem: Nowadays, people are not only living longer but also retaining their</w:t>
      </w:r>
      <w:r>
        <w:rPr>
          <w:spacing w:val="1"/>
        </w:rPr>
        <w:t> </w:t>
      </w:r>
      <w:r>
        <w:rPr/>
        <w:t>natural teeth into old age. The oral health treatment needs of elderly people can be complex</w:t>
      </w:r>
      <w:r>
        <w:rPr>
          <w:spacing w:val="1"/>
        </w:rPr>
        <w:t> </w:t>
      </w:r>
      <w:r>
        <w:rPr/>
        <w:t>because of reduced mobility, compromised physical and mental states amongst others. These</w:t>
      </w:r>
      <w:r>
        <w:rPr>
          <w:spacing w:val="1"/>
        </w:rPr>
        <w:t> </w:t>
      </w:r>
      <w:r>
        <w:rPr/>
        <w:t>make oral hygiene and</w:t>
      </w:r>
      <w:r>
        <w:rPr>
          <w:spacing w:val="1"/>
        </w:rPr>
        <w:t> </w:t>
      </w:r>
      <w:r>
        <w:rPr/>
        <w:t>treatment more difficult. Despite their increased</w:t>
      </w:r>
      <w:r>
        <w:rPr>
          <w:spacing w:val="60"/>
        </w:rPr>
        <w:t> </w:t>
      </w:r>
      <w:r>
        <w:rPr/>
        <w:t>need, the uptake of</w:t>
      </w:r>
      <w:r>
        <w:rPr>
          <w:spacing w:val="1"/>
        </w:rPr>
        <w:t> </w:t>
      </w:r>
      <w:r>
        <w:rPr/>
        <w:t>dental care by elderly people is characteristically poor and unmet needs may be high due to</w:t>
      </w:r>
      <w:r>
        <w:rPr>
          <w:spacing w:val="1"/>
        </w:rPr>
        <w:t> </w:t>
      </w:r>
      <w:r>
        <w:rPr/>
        <w:t>barriers</w:t>
      </w:r>
      <w:r>
        <w:rPr>
          <w:spacing w:val="23"/>
        </w:rPr>
        <w:t> </w:t>
      </w:r>
      <w:r>
        <w:rPr/>
        <w:t>to</w:t>
      </w:r>
      <w:r>
        <w:rPr>
          <w:spacing w:val="24"/>
        </w:rPr>
        <w:t> </w:t>
      </w:r>
      <w:r>
        <w:rPr/>
        <w:t>oral</w:t>
      </w:r>
      <w:r>
        <w:rPr>
          <w:spacing w:val="23"/>
        </w:rPr>
        <w:t> </w:t>
      </w:r>
      <w:r>
        <w:rPr/>
        <w:t>health</w:t>
      </w:r>
      <w:r>
        <w:rPr>
          <w:spacing w:val="23"/>
        </w:rPr>
        <w:t> </w:t>
      </w:r>
      <w:r>
        <w:rPr/>
        <w:t>as</w:t>
      </w:r>
      <w:r>
        <w:rPr>
          <w:spacing w:val="23"/>
        </w:rPr>
        <w:t> </w:t>
      </w:r>
      <w:r>
        <w:rPr/>
        <w:t>shown</w:t>
      </w:r>
      <w:r>
        <w:rPr>
          <w:spacing w:val="23"/>
        </w:rPr>
        <w:t> </w:t>
      </w:r>
      <w:r>
        <w:rPr/>
        <w:t>by</w:t>
      </w:r>
      <w:r>
        <w:rPr>
          <w:spacing w:val="15"/>
        </w:rPr>
        <w:t> </w:t>
      </w:r>
      <w:r>
        <w:rPr/>
        <w:t>previous</w:t>
      </w:r>
      <w:r>
        <w:rPr>
          <w:spacing w:val="24"/>
        </w:rPr>
        <w:t> </w:t>
      </w:r>
      <w:r>
        <w:rPr/>
        <w:t>studies.</w:t>
      </w:r>
      <w:r>
        <w:rPr>
          <w:spacing w:val="22"/>
        </w:rPr>
        <w:t> </w:t>
      </w:r>
      <w:r>
        <w:rPr/>
        <w:t>This</w:t>
      </w:r>
      <w:r>
        <w:rPr>
          <w:spacing w:val="24"/>
        </w:rPr>
        <w:t> </w:t>
      </w:r>
      <w:r>
        <w:rPr/>
        <w:t>study</w:t>
      </w:r>
      <w:r>
        <w:rPr>
          <w:spacing w:val="16"/>
        </w:rPr>
        <w:t> </w:t>
      </w:r>
      <w:r>
        <w:rPr/>
        <w:t>therefore</w:t>
      </w:r>
      <w:r>
        <w:rPr>
          <w:spacing w:val="25"/>
        </w:rPr>
        <w:t> </w:t>
      </w:r>
      <w:r>
        <w:rPr/>
        <w:t>set</w:t>
      </w:r>
      <w:r>
        <w:rPr>
          <w:spacing w:val="23"/>
        </w:rPr>
        <w:t> </w:t>
      </w:r>
      <w:r>
        <w:rPr/>
        <w:t>out</w:t>
      </w:r>
      <w:r>
        <w:rPr>
          <w:spacing w:val="24"/>
        </w:rPr>
        <w:t> </w:t>
      </w:r>
      <w:r>
        <w:rPr/>
        <w:t>to</w:t>
      </w:r>
      <w:r>
        <w:rPr>
          <w:spacing w:val="20"/>
        </w:rPr>
        <w:t> </w:t>
      </w:r>
      <w:r>
        <w:rPr/>
        <w:t>investigate</w:t>
      </w:r>
      <w:r>
        <w:rPr>
          <w:spacing w:val="-57"/>
        </w:rPr>
        <w:t> </w:t>
      </w:r>
      <w:r>
        <w:rPr/>
        <w:t>the specific barriers in our environment. Methodology and theoretical</w:t>
      </w:r>
      <w:r>
        <w:rPr>
          <w:spacing w:val="1"/>
        </w:rPr>
        <w:t> </w:t>
      </w:r>
      <w:r>
        <w:rPr/>
        <w:t>Orientation: A cross-</w:t>
      </w:r>
      <w:r>
        <w:rPr>
          <w:spacing w:val="1"/>
        </w:rPr>
        <w:t> </w:t>
      </w:r>
      <w:r>
        <w:rPr/>
        <w:t>sectional study in which multistage sampling was used to enroll 500 patients, aged 65 years and</w:t>
      </w:r>
      <w:r>
        <w:rPr>
          <w:spacing w:val="1"/>
        </w:rPr>
        <w:t> </w:t>
      </w:r>
      <w:r>
        <w:rPr/>
        <w:t>above who were attending selected health care centers in Oyo State. A structured interviewer</w:t>
      </w:r>
      <w:r>
        <w:rPr>
          <w:spacing w:val="1"/>
        </w:rPr>
        <w:t> </w:t>
      </w:r>
      <w:r>
        <w:rPr/>
        <w:t>administered questionnaire and modified WHO clinical assessment form were used to determine</w:t>
      </w:r>
      <w:r>
        <w:rPr>
          <w:spacing w:val="1"/>
        </w:rPr>
        <w:t> </w:t>
      </w:r>
      <w:r>
        <w:rPr/>
        <w:t>their oral health status.</w:t>
      </w:r>
      <w:r>
        <w:rPr>
          <w:spacing w:val="1"/>
        </w:rPr>
        <w:t> </w:t>
      </w:r>
      <w:r>
        <w:rPr/>
        <w:t>Findings: Mean age was 74 </w:t>
      </w:r>
      <w:r>
        <w:rPr>
          <w:rFonts w:ascii="Cambria Math" w:hAnsi="Cambria Math"/>
        </w:rPr>
        <w:t>± </w:t>
      </w:r>
      <w:r>
        <w:rPr/>
        <w:t>10 years with more female respondents</w:t>
      </w:r>
      <w:r>
        <w:rPr>
          <w:spacing w:val="1"/>
        </w:rPr>
        <w:t> </w:t>
      </w:r>
      <w:r>
        <w:rPr/>
        <w:t>(51.0%).Mean DMFT of 5 and CPITN of 2 indicated that there was a need for dental care among</w:t>
      </w:r>
      <w:r>
        <w:rPr>
          <w:spacing w:val="-57"/>
        </w:rPr>
        <w:t> </w:t>
      </w:r>
      <w:r>
        <w:rPr/>
        <w:t>the participants. Less than a tenth (8.6%) of the study population had accessed dental care in the</w:t>
      </w:r>
      <w:r>
        <w:rPr>
          <w:spacing w:val="1"/>
        </w:rPr>
        <w:t> </w:t>
      </w:r>
      <w:r>
        <w:rPr/>
        <w:t>past 12 months. Fear of pain constituted the barrier with highest ranking among the respondents</w:t>
      </w:r>
      <w:r>
        <w:rPr>
          <w:spacing w:val="1"/>
        </w:rPr>
        <w:t> </w:t>
      </w:r>
      <w:r>
        <w:rPr/>
        <w:t>in this study (62.0%). Frightening dental instruments and noise from dental instruments were</w:t>
      </w:r>
      <w:r>
        <w:rPr>
          <w:spacing w:val="1"/>
        </w:rPr>
        <w:t> </w:t>
      </w:r>
      <w:r>
        <w:rPr/>
        <w:t>some of the factors preventing the elderly from seeking oral health care in Oyo State. Conclusion</w:t>
      </w:r>
      <w:r>
        <w:rPr>
          <w:spacing w:val="-57"/>
        </w:rPr>
        <w:t> </w:t>
      </w:r>
      <w:r>
        <w:rPr/>
        <w:t>and Significance: Though oral health care access is available in the public sector, the study found</w:t>
      </w:r>
      <w:r>
        <w:rPr>
          <w:spacing w:val="-57"/>
        </w:rPr>
        <w:t> </w:t>
      </w:r>
      <w:r>
        <w:rPr/>
        <w:t>that there were unmet dental treatment needs among the elderly due to some financial and</w:t>
      </w:r>
      <w:r>
        <w:rPr>
          <w:spacing w:val="1"/>
        </w:rPr>
        <w:t> </w:t>
      </w:r>
      <w:r>
        <w:rPr/>
        <w:t>personal</w:t>
      </w:r>
      <w:r>
        <w:rPr>
          <w:spacing w:val="-1"/>
        </w:rPr>
        <w:t> </w:t>
      </w:r>
      <w:r>
        <w:rPr/>
        <w:t>barriers</w:t>
      </w:r>
      <w:r>
        <w:rPr>
          <w:spacing w:val="1"/>
        </w:rPr>
        <w:t> </w:t>
      </w:r>
      <w:r>
        <w:rPr/>
        <w:t>experienced.</w:t>
      </w:r>
    </w:p>
    <w:p>
      <w:pPr>
        <w:pStyle w:val="BodyText"/>
        <w:spacing w:before="122"/>
        <w:ind w:left="140"/>
        <w:jc w:val="both"/>
      </w:pPr>
      <w:r>
        <w:rPr/>
        <w:t>Recent</w:t>
      </w:r>
      <w:r>
        <w:rPr>
          <w:spacing w:val="-2"/>
        </w:rPr>
        <w:t> </w:t>
      </w:r>
      <w:r>
        <w:rPr/>
        <w:t>publications:</w:t>
      </w: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0"/>
          <w:numId w:val="1"/>
        </w:numPr>
        <w:tabs>
          <w:tab w:pos="772" w:val="left" w:leader="none"/>
        </w:tabs>
        <w:spacing w:line="360" w:lineRule="auto" w:before="0" w:after="0"/>
        <w:ind w:left="771" w:right="143" w:hanging="360"/>
        <w:jc w:val="both"/>
        <w:rPr>
          <w:color w:val="212121"/>
          <w:sz w:val="24"/>
        </w:rPr>
      </w:pPr>
      <w:r>
        <w:rPr>
          <w:color w:val="212121"/>
          <w:sz w:val="24"/>
        </w:rPr>
        <w:t>Gopalakrishnan A, Kahu E, Jones L, Brunton P. Access and barriers to oral health care for</w:t>
      </w:r>
      <w:r>
        <w:rPr>
          <w:color w:val="212121"/>
          <w:spacing w:val="-57"/>
          <w:sz w:val="24"/>
        </w:rPr>
        <w:t> </w:t>
      </w:r>
      <w:r>
        <w:rPr>
          <w:color w:val="212121"/>
          <w:sz w:val="24"/>
        </w:rPr>
        <w:t>dependent</w:t>
      </w:r>
      <w:r>
        <w:rPr>
          <w:color w:val="212121"/>
          <w:spacing w:val="-1"/>
          <w:sz w:val="24"/>
        </w:rPr>
        <w:t> </w:t>
      </w:r>
      <w:r>
        <w:rPr>
          <w:color w:val="212121"/>
          <w:sz w:val="24"/>
        </w:rPr>
        <w:t>elderly</w:t>
      </w:r>
      <w:r>
        <w:rPr>
          <w:color w:val="212121"/>
          <w:spacing w:val="-5"/>
          <w:sz w:val="24"/>
        </w:rPr>
        <w:t> </w:t>
      </w:r>
      <w:r>
        <w:rPr>
          <w:color w:val="212121"/>
          <w:sz w:val="24"/>
        </w:rPr>
        <w:t>people</w:t>
      </w:r>
      <w:r>
        <w:rPr>
          <w:color w:val="212121"/>
          <w:spacing w:val="1"/>
          <w:sz w:val="24"/>
        </w:rPr>
        <w:t> </w:t>
      </w:r>
      <w:r>
        <w:rPr>
          <w:color w:val="212121"/>
          <w:sz w:val="24"/>
        </w:rPr>
        <w:t>living</w:t>
      </w:r>
      <w:r>
        <w:rPr>
          <w:color w:val="212121"/>
          <w:spacing w:val="-2"/>
          <w:sz w:val="24"/>
        </w:rPr>
        <w:t> </w:t>
      </w:r>
      <w:r>
        <w:rPr>
          <w:color w:val="212121"/>
          <w:sz w:val="24"/>
        </w:rPr>
        <w:t>in rest homes. Gerodontology.</w:t>
      </w:r>
      <w:r>
        <w:rPr>
          <w:color w:val="212121"/>
          <w:spacing w:val="-1"/>
          <w:sz w:val="24"/>
        </w:rPr>
        <w:t> </w:t>
      </w:r>
      <w:r>
        <w:rPr>
          <w:color w:val="212121"/>
          <w:sz w:val="24"/>
        </w:rPr>
        <w:t>2019 Jun;36(2):149-55.</w:t>
      </w:r>
    </w:p>
    <w:p>
      <w:pPr>
        <w:pStyle w:val="ListParagraph"/>
        <w:numPr>
          <w:ilvl w:val="0"/>
          <w:numId w:val="1"/>
        </w:numPr>
        <w:tabs>
          <w:tab w:pos="772" w:val="left" w:leader="none"/>
        </w:tabs>
        <w:spacing w:line="360" w:lineRule="auto" w:before="0" w:after="0"/>
        <w:ind w:left="771" w:right="139" w:hanging="360"/>
        <w:jc w:val="both"/>
        <w:rPr>
          <w:sz w:val="24"/>
        </w:rPr>
      </w:pPr>
      <w:r>
        <w:rPr>
          <w:color w:val="212121"/>
          <w:sz w:val="24"/>
        </w:rPr>
        <w:t>Janto M, Iurcov R, Daina CM, Neculoiu DC, Venter AC, Badau D, Cotovanu A, Negrau</w:t>
      </w:r>
      <w:r>
        <w:rPr>
          <w:color w:val="212121"/>
          <w:spacing w:val="1"/>
          <w:sz w:val="24"/>
        </w:rPr>
        <w:t> </w:t>
      </w:r>
      <w:r>
        <w:rPr>
          <w:color w:val="212121"/>
          <w:sz w:val="24"/>
        </w:rPr>
        <w:t>M, Suteu CL, Sabau M, Daina LG. Oral Health among Elderly, Impact on Life Quality,</w:t>
      </w:r>
      <w:r>
        <w:rPr>
          <w:color w:val="212121"/>
          <w:spacing w:val="1"/>
          <w:sz w:val="24"/>
        </w:rPr>
        <w:t> </w:t>
      </w:r>
      <w:r>
        <w:rPr>
          <w:color w:val="212121"/>
          <w:sz w:val="24"/>
        </w:rPr>
        <w:t>Access of Elderly Patients</w:t>
      </w:r>
      <w:r>
        <w:rPr>
          <w:color w:val="212121"/>
          <w:spacing w:val="60"/>
          <w:sz w:val="24"/>
        </w:rPr>
        <w:t> </w:t>
      </w:r>
      <w:r>
        <w:rPr>
          <w:color w:val="212121"/>
          <w:sz w:val="24"/>
        </w:rPr>
        <w:t>to Oral Health Services and Methods to Improve Oral Health:</w:t>
      </w:r>
      <w:r>
        <w:rPr>
          <w:color w:val="212121"/>
          <w:spacing w:val="1"/>
          <w:sz w:val="24"/>
        </w:rPr>
        <w:t> </w:t>
      </w:r>
      <w:r>
        <w:rPr>
          <w:color w:val="212121"/>
          <w:sz w:val="24"/>
        </w:rPr>
        <w:t>A</w:t>
      </w:r>
      <w:r>
        <w:rPr>
          <w:color w:val="212121"/>
          <w:spacing w:val="-1"/>
          <w:sz w:val="24"/>
        </w:rPr>
        <w:t> </w:t>
      </w:r>
      <w:r>
        <w:rPr>
          <w:color w:val="212121"/>
          <w:sz w:val="24"/>
        </w:rPr>
        <w:t>Narrative</w:t>
      </w:r>
      <w:r>
        <w:rPr>
          <w:color w:val="212121"/>
          <w:spacing w:val="-1"/>
          <w:sz w:val="24"/>
        </w:rPr>
        <w:t> </w:t>
      </w:r>
      <w:r>
        <w:rPr>
          <w:color w:val="212121"/>
          <w:sz w:val="24"/>
        </w:rPr>
        <w:t>Review. Journal of Personalized</w:t>
      </w:r>
      <w:r>
        <w:rPr>
          <w:color w:val="212121"/>
          <w:spacing w:val="-1"/>
          <w:sz w:val="24"/>
        </w:rPr>
        <w:t> </w:t>
      </w:r>
      <w:r>
        <w:rPr>
          <w:color w:val="212121"/>
          <w:sz w:val="24"/>
        </w:rPr>
        <w:t>Medicine. 2022 Feb 28;12(3):372.</w:t>
      </w:r>
    </w:p>
    <w:p>
      <w:pPr>
        <w:spacing w:after="0" w:line="360" w:lineRule="auto"/>
        <w:jc w:val="both"/>
        <w:rPr>
          <w:sz w:val="24"/>
        </w:rPr>
        <w:sectPr>
          <w:type w:val="continuous"/>
          <w:pgSz w:w="12240" w:h="15840"/>
          <w:pgMar w:top="1500" w:bottom="280" w:left="1300" w:right="1300"/>
        </w:sectPr>
      </w:pPr>
    </w:p>
    <w:p>
      <w:pPr>
        <w:pStyle w:val="ListParagraph"/>
        <w:numPr>
          <w:ilvl w:val="0"/>
          <w:numId w:val="1"/>
        </w:numPr>
        <w:tabs>
          <w:tab w:pos="772" w:val="left" w:leader="none"/>
        </w:tabs>
        <w:spacing w:line="360" w:lineRule="auto" w:before="74" w:after="0"/>
        <w:ind w:left="771" w:right="141" w:hanging="360"/>
        <w:jc w:val="both"/>
        <w:rPr>
          <w:color w:val="212121"/>
          <w:sz w:val="24"/>
        </w:rPr>
      </w:pPr>
      <w:r>
        <w:rPr>
          <w:color w:val="212121"/>
          <w:sz w:val="24"/>
        </w:rPr>
        <w:t>Ribeiro</w:t>
      </w:r>
      <w:r>
        <w:rPr>
          <w:color w:val="212121"/>
          <w:spacing w:val="1"/>
          <w:sz w:val="24"/>
        </w:rPr>
        <w:t> </w:t>
      </w:r>
      <w:r>
        <w:rPr>
          <w:color w:val="212121"/>
          <w:sz w:val="24"/>
        </w:rPr>
        <w:t>GR,</w:t>
      </w:r>
      <w:r>
        <w:rPr>
          <w:color w:val="212121"/>
          <w:spacing w:val="1"/>
          <w:sz w:val="24"/>
        </w:rPr>
        <w:t> </w:t>
      </w:r>
      <w:r>
        <w:rPr>
          <w:color w:val="212121"/>
          <w:sz w:val="24"/>
        </w:rPr>
        <w:t>Costa</w:t>
      </w:r>
      <w:r>
        <w:rPr>
          <w:color w:val="212121"/>
          <w:spacing w:val="1"/>
          <w:sz w:val="24"/>
        </w:rPr>
        <w:t> </w:t>
      </w:r>
      <w:r>
        <w:rPr>
          <w:color w:val="212121"/>
          <w:sz w:val="24"/>
        </w:rPr>
        <w:t>JL,</w:t>
      </w:r>
      <w:r>
        <w:rPr>
          <w:color w:val="212121"/>
          <w:spacing w:val="1"/>
          <w:sz w:val="24"/>
        </w:rPr>
        <w:t> </w:t>
      </w:r>
      <w:r>
        <w:rPr>
          <w:color w:val="212121"/>
          <w:sz w:val="24"/>
        </w:rPr>
        <w:t>Ambrosano</w:t>
      </w:r>
      <w:r>
        <w:rPr>
          <w:color w:val="212121"/>
          <w:spacing w:val="1"/>
          <w:sz w:val="24"/>
        </w:rPr>
        <w:t> </w:t>
      </w:r>
      <w:r>
        <w:rPr>
          <w:color w:val="212121"/>
          <w:sz w:val="24"/>
        </w:rPr>
        <w:t>GM,</w:t>
      </w:r>
      <w:r>
        <w:rPr>
          <w:color w:val="212121"/>
          <w:spacing w:val="1"/>
          <w:sz w:val="24"/>
        </w:rPr>
        <w:t> </w:t>
      </w:r>
      <w:r>
        <w:rPr>
          <w:color w:val="212121"/>
          <w:sz w:val="24"/>
        </w:rPr>
        <w:t>Garcia</w:t>
      </w:r>
      <w:r>
        <w:rPr>
          <w:color w:val="212121"/>
          <w:spacing w:val="1"/>
          <w:sz w:val="24"/>
        </w:rPr>
        <w:t> </w:t>
      </w:r>
      <w:r>
        <w:rPr>
          <w:color w:val="212121"/>
          <w:sz w:val="24"/>
        </w:rPr>
        <w:t>RC.</w:t>
      </w:r>
      <w:r>
        <w:rPr>
          <w:color w:val="212121"/>
          <w:spacing w:val="1"/>
          <w:sz w:val="24"/>
        </w:rPr>
        <w:t> </w:t>
      </w:r>
      <w:r>
        <w:rPr>
          <w:color w:val="212121"/>
          <w:sz w:val="24"/>
        </w:rPr>
        <w:t>Oral</w:t>
      </w:r>
      <w:r>
        <w:rPr>
          <w:color w:val="212121"/>
          <w:spacing w:val="1"/>
          <w:sz w:val="24"/>
        </w:rPr>
        <w:t> </w:t>
      </w:r>
      <w:r>
        <w:rPr>
          <w:color w:val="212121"/>
          <w:sz w:val="24"/>
        </w:rPr>
        <w:t>health</w:t>
      </w:r>
      <w:r>
        <w:rPr>
          <w:color w:val="212121"/>
          <w:spacing w:val="1"/>
          <w:sz w:val="24"/>
        </w:rPr>
        <w:t> </w:t>
      </w:r>
      <w:r>
        <w:rPr>
          <w:color w:val="212121"/>
          <w:sz w:val="24"/>
        </w:rPr>
        <w:t>of</w:t>
      </w:r>
      <w:r>
        <w:rPr>
          <w:color w:val="212121"/>
          <w:spacing w:val="1"/>
          <w:sz w:val="24"/>
        </w:rPr>
        <w:t> </w:t>
      </w:r>
      <w:r>
        <w:rPr>
          <w:color w:val="212121"/>
          <w:sz w:val="24"/>
        </w:rPr>
        <w:t>the</w:t>
      </w:r>
      <w:r>
        <w:rPr>
          <w:color w:val="212121"/>
          <w:spacing w:val="1"/>
          <w:sz w:val="24"/>
        </w:rPr>
        <w:t> </w:t>
      </w:r>
      <w:r>
        <w:rPr>
          <w:color w:val="212121"/>
          <w:sz w:val="24"/>
        </w:rPr>
        <w:t>elderly</w:t>
      </w:r>
      <w:r>
        <w:rPr>
          <w:color w:val="212121"/>
          <w:spacing w:val="1"/>
          <w:sz w:val="24"/>
        </w:rPr>
        <w:t> </w:t>
      </w:r>
      <w:r>
        <w:rPr>
          <w:color w:val="212121"/>
          <w:sz w:val="24"/>
        </w:rPr>
        <w:t>with</w:t>
      </w:r>
      <w:r>
        <w:rPr>
          <w:color w:val="212121"/>
          <w:spacing w:val="-57"/>
          <w:sz w:val="24"/>
        </w:rPr>
        <w:t> </w:t>
      </w:r>
      <w:r>
        <w:rPr>
          <w:color w:val="212121"/>
          <w:sz w:val="24"/>
        </w:rPr>
        <w:t>Alzheimer's disease. Oral surgery, oral medicine, oral pathology and oral radiology. 2012</w:t>
      </w:r>
      <w:r>
        <w:rPr>
          <w:color w:val="212121"/>
          <w:spacing w:val="1"/>
          <w:sz w:val="24"/>
        </w:rPr>
        <w:t> </w:t>
      </w:r>
      <w:r>
        <w:rPr>
          <w:color w:val="212121"/>
          <w:sz w:val="24"/>
        </w:rPr>
        <w:t>Sep</w:t>
      </w:r>
      <w:r>
        <w:rPr>
          <w:color w:val="212121"/>
          <w:spacing w:val="-1"/>
          <w:sz w:val="24"/>
        </w:rPr>
        <w:t> </w:t>
      </w:r>
      <w:r>
        <w:rPr>
          <w:color w:val="212121"/>
          <w:sz w:val="24"/>
        </w:rPr>
        <w:t>1;114(3):338-43.</w:t>
      </w:r>
    </w:p>
    <w:p>
      <w:pPr>
        <w:pStyle w:val="ListParagraph"/>
        <w:numPr>
          <w:ilvl w:val="0"/>
          <w:numId w:val="1"/>
        </w:numPr>
        <w:tabs>
          <w:tab w:pos="772" w:val="left" w:leader="none"/>
        </w:tabs>
        <w:spacing w:line="360" w:lineRule="auto" w:before="0" w:after="0"/>
        <w:ind w:left="771" w:right="137" w:hanging="360"/>
        <w:jc w:val="both"/>
        <w:rPr>
          <w:color w:val="212121"/>
          <w:sz w:val="24"/>
        </w:rPr>
      </w:pPr>
      <w:r>
        <w:rPr>
          <w:color w:val="212121"/>
          <w:sz w:val="24"/>
        </w:rPr>
        <w:t>Masood M, Newton T, Bakri NN, Khalid T, Masood Y. The relationship between oral</w:t>
      </w:r>
      <w:r>
        <w:rPr>
          <w:color w:val="212121"/>
          <w:spacing w:val="1"/>
          <w:sz w:val="24"/>
        </w:rPr>
        <w:t> </w:t>
      </w:r>
      <w:r>
        <w:rPr>
          <w:color w:val="212121"/>
          <w:sz w:val="24"/>
        </w:rPr>
        <w:t>health and oral health related quality of life among elderly people in United Kingdom.</w:t>
      </w:r>
      <w:r>
        <w:rPr>
          <w:color w:val="212121"/>
          <w:spacing w:val="1"/>
          <w:sz w:val="24"/>
        </w:rPr>
        <w:t> </w:t>
      </w:r>
      <w:r>
        <w:rPr>
          <w:color w:val="212121"/>
          <w:sz w:val="24"/>
        </w:rPr>
        <w:t>Journal</w:t>
      </w:r>
      <w:r>
        <w:rPr>
          <w:color w:val="212121"/>
          <w:spacing w:val="-1"/>
          <w:sz w:val="24"/>
        </w:rPr>
        <w:t> </w:t>
      </w:r>
      <w:r>
        <w:rPr>
          <w:color w:val="212121"/>
          <w:sz w:val="24"/>
        </w:rPr>
        <w:t>of dentistry. 2017 Jan 1;56:78-83.</w:t>
      </w:r>
    </w:p>
    <w:p>
      <w:pPr>
        <w:pStyle w:val="ListParagraph"/>
        <w:numPr>
          <w:ilvl w:val="0"/>
          <w:numId w:val="1"/>
        </w:numPr>
        <w:tabs>
          <w:tab w:pos="772" w:val="left" w:leader="none"/>
        </w:tabs>
        <w:spacing w:line="360" w:lineRule="auto" w:before="1" w:after="0"/>
        <w:ind w:left="771" w:right="137" w:hanging="360"/>
        <w:jc w:val="both"/>
        <w:rPr>
          <w:rFonts w:ascii="Arial MT"/>
          <w:color w:val="212121"/>
          <w:sz w:val="20"/>
        </w:rPr>
      </w:pPr>
      <w:r>
        <w:rPr>
          <w:color w:val="212121"/>
          <w:sz w:val="24"/>
        </w:rPr>
        <w:t>Gaszynska E, Szatko F,</w:t>
      </w:r>
      <w:r>
        <w:rPr>
          <w:color w:val="212121"/>
          <w:spacing w:val="1"/>
          <w:sz w:val="24"/>
        </w:rPr>
        <w:t> </w:t>
      </w:r>
      <w:r>
        <w:rPr>
          <w:color w:val="212121"/>
          <w:sz w:val="24"/>
        </w:rPr>
        <w:t>Godala M, Gaszynski</w:t>
      </w:r>
      <w:r>
        <w:rPr>
          <w:color w:val="212121"/>
          <w:spacing w:val="60"/>
          <w:sz w:val="24"/>
        </w:rPr>
        <w:t> </w:t>
      </w:r>
      <w:r>
        <w:rPr>
          <w:color w:val="212121"/>
          <w:sz w:val="24"/>
        </w:rPr>
        <w:t>T. Oral health status, dental treatment</w:t>
      </w:r>
      <w:r>
        <w:rPr>
          <w:color w:val="212121"/>
          <w:spacing w:val="1"/>
          <w:sz w:val="24"/>
        </w:rPr>
        <w:t> </w:t>
      </w:r>
      <w:r>
        <w:rPr>
          <w:color w:val="212121"/>
          <w:sz w:val="24"/>
        </w:rPr>
        <w:t>needs, and barriers to dental care of elderly care home residents in Lodz, Poland. Clinical</w:t>
      </w:r>
      <w:r>
        <w:rPr>
          <w:color w:val="212121"/>
          <w:spacing w:val="1"/>
          <w:sz w:val="24"/>
        </w:rPr>
        <w:t> </w:t>
      </w:r>
      <w:r>
        <w:rPr>
          <w:color w:val="212121"/>
          <w:sz w:val="24"/>
        </w:rPr>
        <w:t>interventions</w:t>
      </w:r>
      <w:r>
        <w:rPr>
          <w:color w:val="212121"/>
          <w:spacing w:val="-1"/>
          <w:sz w:val="24"/>
        </w:rPr>
        <w:t> </w:t>
      </w:r>
      <w:r>
        <w:rPr>
          <w:color w:val="212121"/>
          <w:sz w:val="24"/>
        </w:rPr>
        <w:t>in aging. 2014;9:1637</w:t>
      </w:r>
      <w:r>
        <w:rPr>
          <w:rFonts w:ascii="Arial MT"/>
          <w:color w:val="212121"/>
          <w:sz w:val="20"/>
        </w:rPr>
        <w:t>.</w:t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3"/>
        <w:rPr>
          <w:rFonts w:ascii="Arial MT"/>
          <w:sz w:val="19"/>
        </w:rPr>
      </w:pPr>
    </w:p>
    <w:p>
      <w:pPr>
        <w:spacing w:before="59"/>
        <w:ind w:left="701" w:right="0" w:firstLine="0"/>
        <w:jc w:val="left"/>
        <w:rPr>
          <w:rFonts w:ascii="Calibri"/>
          <w:sz w:val="20"/>
        </w:rPr>
      </w:pPr>
      <w:r>
        <w:rPr/>
        <w:pict>
          <v:group style="position:absolute;margin-left:121.32pt;margin-top:8.706499pt;width:239.65pt;height:127.8pt;mso-position-horizontal-relative:page;mso-position-vertical-relative:paragraph;z-index:15729152" coordorigin="2426,174" coordsize="4793,2556">
            <v:shape style="position:absolute;left:2481;top:175;width:4738;height:2554" type="#_x0000_t75" stroked="false">
              <v:imagedata r:id="rId5" o:title=""/>
            </v:shape>
            <v:shape style="position:absolute;left:2426;top:181;width:65;height:2531" coordorigin="2426,182" coordsize="65,2531" path="m2491,2712l2426,2712m2491,2205l2426,2205m2491,1698l2426,1698m2491,1194l2426,1194m2491,688l2426,688m2491,182l2426,182e" filled="false" stroked="true" strokeweight=".75pt" strokecolor="#858585">
              <v:path arrowok="t"/>
              <v:stroke dashstyl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4807077</wp:posOffset>
            </wp:positionH>
            <wp:positionV relativeFrom="paragraph">
              <wp:posOffset>498337</wp:posOffset>
            </wp:positionV>
            <wp:extent cx="69752" cy="69752"/>
            <wp:effectExtent l="0" t="0" r="0" b="0"/>
            <wp:wrapNone/>
            <wp:docPr id="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52" cy="69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2.807999pt;margin-top:4.351095pt;width:15pt;height:193.2pt;mso-position-horizontal-relative:page;mso-position-vertical-relative:paragraph;z-index:-15784448" type="#_x0000_t202" filled="false" stroked="false">
            <v:textbox inset="0,0,0,0" style="layout-flow:vertical;mso-layout-flow-alt:bottom-to-top">
              <w:txbxContent>
                <w:p>
                  <w:pPr>
                    <w:spacing w:line="284" w:lineRule="exact" w:before="0"/>
                    <w:ind w:left="20" w:right="0" w:firstLine="0"/>
                    <w:jc w:val="left"/>
                    <w:rPr>
                      <w:rFonts w:ascii="Calibri"/>
                      <w:b/>
                      <w:sz w:val="26"/>
                    </w:rPr>
                  </w:pPr>
                  <w:r>
                    <w:rPr>
                      <w:rFonts w:ascii="Calibri"/>
                      <w:b/>
                      <w:sz w:val="26"/>
                    </w:rPr>
                    <w:t>No.</w:t>
                  </w:r>
                  <w:r>
                    <w:rPr>
                      <w:rFonts w:ascii="Calibri"/>
                      <w:b/>
                      <w:spacing w:val="-8"/>
                      <w:sz w:val="26"/>
                    </w:rPr>
                    <w:t> </w:t>
                  </w:r>
                  <w:r>
                    <w:rPr>
                      <w:rFonts w:ascii="Calibri"/>
                      <w:b/>
                      <w:sz w:val="26"/>
                    </w:rPr>
                    <w:t>of</w:t>
                  </w:r>
                  <w:r>
                    <w:rPr>
                      <w:rFonts w:ascii="Calibri"/>
                      <w:b/>
                      <w:spacing w:val="-7"/>
                      <w:sz w:val="26"/>
                    </w:rPr>
                    <w:t> </w:t>
                  </w:r>
                  <w:r>
                    <w:rPr>
                      <w:rFonts w:ascii="Calibri"/>
                      <w:b/>
                      <w:sz w:val="26"/>
                    </w:rPr>
                    <w:t>responses</w:t>
                  </w:r>
                  <w:r>
                    <w:rPr>
                      <w:rFonts w:ascii="Calibri"/>
                      <w:b/>
                      <w:spacing w:val="-7"/>
                      <w:sz w:val="26"/>
                    </w:rPr>
                    <w:t> </w:t>
                  </w:r>
                  <w:r>
                    <w:rPr>
                      <w:rFonts w:ascii="Calibri"/>
                      <w:b/>
                      <w:sz w:val="26"/>
                    </w:rPr>
                    <w:t>of</w:t>
                  </w:r>
                  <w:r>
                    <w:rPr>
                      <w:rFonts w:ascii="Calibri"/>
                      <w:b/>
                      <w:spacing w:val="-7"/>
                      <w:sz w:val="26"/>
                    </w:rPr>
                    <w:t> </w:t>
                  </w:r>
                  <w:r>
                    <w:rPr>
                      <w:rFonts w:ascii="Calibri"/>
                      <w:b/>
                      <w:sz w:val="26"/>
                    </w:rPr>
                    <w:t>the</w:t>
                  </w:r>
                  <w:r>
                    <w:rPr>
                      <w:rFonts w:ascii="Calibri"/>
                      <w:b/>
                      <w:spacing w:val="-6"/>
                      <w:sz w:val="26"/>
                    </w:rPr>
                    <w:t> </w:t>
                  </w:r>
                  <w:r>
                    <w:rPr>
                      <w:rFonts w:ascii="Calibri"/>
                      <w:b/>
                      <w:sz w:val="26"/>
                    </w:rPr>
                    <w:t>participants</w:t>
                  </w:r>
                </w:p>
              </w:txbxContent>
            </v:textbox>
            <w10:wrap type="none"/>
          </v:shape>
        </w:pict>
      </w:r>
      <w:r>
        <w:rPr>
          <w:rFonts w:ascii="Calibri"/>
          <w:sz w:val="20"/>
        </w:rPr>
        <w:t>500</w:t>
      </w:r>
    </w:p>
    <w:p>
      <w:pPr>
        <w:pStyle w:val="BodyText"/>
        <w:spacing w:before="8"/>
        <w:rPr>
          <w:rFonts w:ascii="Calibri"/>
          <w:sz w:val="16"/>
        </w:rPr>
      </w:pPr>
    </w:p>
    <w:p>
      <w:pPr>
        <w:spacing w:after="0"/>
        <w:rPr>
          <w:rFonts w:ascii="Calibri"/>
          <w:sz w:val="16"/>
        </w:rPr>
        <w:sectPr>
          <w:pgSz w:w="12240" w:h="15840"/>
          <w:pgMar w:top="1360" w:bottom="280" w:left="1300" w:right="1300"/>
        </w:sectPr>
      </w:pPr>
    </w:p>
    <w:p>
      <w:pPr>
        <w:spacing w:before="59"/>
        <w:ind w:left="0" w:right="38" w:firstLine="0"/>
        <w:jc w:val="right"/>
        <w:rPr>
          <w:rFonts w:ascii="Calibri"/>
          <w:sz w:val="20"/>
        </w:rPr>
      </w:pPr>
      <w:r>
        <w:rPr>
          <w:rFonts w:ascii="Calibri"/>
          <w:sz w:val="20"/>
        </w:rPr>
        <w:t>400</w:t>
      </w:r>
    </w:p>
    <w:p>
      <w:pPr>
        <w:pStyle w:val="BodyText"/>
        <w:spacing w:before="6"/>
        <w:rPr>
          <w:rFonts w:ascii="Calibri"/>
          <w:sz w:val="21"/>
        </w:rPr>
      </w:pPr>
    </w:p>
    <w:p>
      <w:pPr>
        <w:spacing w:before="0"/>
        <w:ind w:left="0" w:right="38" w:firstLine="0"/>
        <w:jc w:val="right"/>
        <w:rPr>
          <w:rFonts w:ascii="Calibri"/>
          <w:sz w:val="20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4807077</wp:posOffset>
            </wp:positionH>
            <wp:positionV relativeFrom="paragraph">
              <wp:posOffset>351525</wp:posOffset>
            </wp:positionV>
            <wp:extent cx="69752" cy="69752"/>
            <wp:effectExtent l="0" t="0" r="0" b="0"/>
            <wp:wrapNone/>
            <wp:docPr id="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52" cy="69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w:t>300</w:t>
      </w:r>
    </w:p>
    <w:p>
      <w:pPr>
        <w:pStyle w:val="BodyText"/>
        <w:spacing w:before="5"/>
        <w:rPr>
          <w:rFonts w:ascii="Calibri"/>
          <w:sz w:val="16"/>
        </w:rPr>
      </w:pPr>
      <w:r>
        <w:rPr/>
        <w:br w:type="column"/>
      </w:r>
      <w:r>
        <w:rPr>
          <w:rFonts w:ascii="Calibri"/>
          <w:sz w:val="16"/>
        </w:rPr>
      </w:r>
    </w:p>
    <w:p>
      <w:pPr>
        <w:spacing w:before="1"/>
        <w:ind w:left="860" w:right="2030" w:firstLine="0"/>
        <w:jc w:val="left"/>
        <w:rPr>
          <w:rFonts w:ascii="Calibri"/>
          <w:sz w:val="20"/>
        </w:rPr>
      </w:pPr>
      <w:r>
        <w:rPr>
          <w:rFonts w:ascii="Calibri"/>
          <w:sz w:val="20"/>
        </w:rPr>
        <w:t>No.</w:t>
      </w:r>
      <w:r>
        <w:rPr>
          <w:rFonts w:ascii="Calibri"/>
          <w:spacing w:val="-8"/>
          <w:sz w:val="20"/>
        </w:rPr>
        <w:t> </w:t>
      </w:r>
      <w:r>
        <w:rPr>
          <w:rFonts w:ascii="Calibri"/>
          <w:sz w:val="20"/>
        </w:rPr>
        <w:t>of</w:t>
      </w:r>
      <w:r>
        <w:rPr>
          <w:rFonts w:ascii="Calibri"/>
          <w:spacing w:val="-9"/>
          <w:sz w:val="20"/>
        </w:rPr>
        <w:t> </w:t>
      </w:r>
      <w:r>
        <w:rPr>
          <w:rFonts w:ascii="Calibri"/>
          <w:sz w:val="20"/>
        </w:rPr>
        <w:t>Positive</w:t>
      </w:r>
      <w:r>
        <w:rPr>
          <w:rFonts w:ascii="Calibri"/>
          <w:spacing w:val="-42"/>
          <w:sz w:val="20"/>
        </w:rPr>
        <w:t> </w:t>
      </w:r>
      <w:r>
        <w:rPr>
          <w:rFonts w:ascii="Calibri"/>
          <w:sz w:val="20"/>
        </w:rPr>
        <w:t>responses</w:t>
      </w:r>
    </w:p>
    <w:p>
      <w:pPr>
        <w:spacing w:after="0"/>
        <w:jc w:val="left"/>
        <w:rPr>
          <w:rFonts w:ascii="Calibri"/>
          <w:sz w:val="20"/>
        </w:rPr>
        <w:sectPr>
          <w:type w:val="continuous"/>
          <w:pgSz w:w="12240" w:h="15840"/>
          <w:pgMar w:top="1500" w:bottom="280" w:left="1300" w:right="1300"/>
          <w:cols w:num="2" w:equalWidth="0">
            <w:col w:w="1046" w:space="4523"/>
            <w:col w:w="4071"/>
          </w:cols>
        </w:sectPr>
      </w:pPr>
    </w:p>
    <w:p>
      <w:pPr>
        <w:pStyle w:val="BodyText"/>
        <w:spacing w:before="1"/>
        <w:rPr>
          <w:rFonts w:ascii="Calibri"/>
          <w:sz w:val="14"/>
        </w:rPr>
      </w:pPr>
    </w:p>
    <w:p>
      <w:pPr>
        <w:spacing w:after="0"/>
        <w:rPr>
          <w:rFonts w:ascii="Calibri"/>
          <w:sz w:val="14"/>
        </w:rPr>
        <w:sectPr>
          <w:type w:val="continuous"/>
          <w:pgSz w:w="12240" w:h="15840"/>
          <w:pgMar w:top="1500" w:bottom="280" w:left="1300" w:right="1300"/>
        </w:sectPr>
      </w:pPr>
    </w:p>
    <w:p>
      <w:pPr>
        <w:spacing w:before="90"/>
        <w:ind w:left="0" w:right="38" w:firstLine="0"/>
        <w:jc w:val="right"/>
        <w:rPr>
          <w:rFonts w:ascii="Calibri"/>
          <w:sz w:val="20"/>
        </w:rPr>
      </w:pPr>
      <w:r>
        <w:rPr>
          <w:rFonts w:ascii="Calibri"/>
          <w:sz w:val="20"/>
        </w:rPr>
        <w:t>200</w:t>
      </w:r>
    </w:p>
    <w:p>
      <w:pPr>
        <w:pStyle w:val="BodyText"/>
        <w:spacing w:before="6"/>
        <w:rPr>
          <w:rFonts w:ascii="Calibri"/>
          <w:sz w:val="21"/>
        </w:rPr>
      </w:pPr>
    </w:p>
    <w:p>
      <w:pPr>
        <w:spacing w:before="0"/>
        <w:ind w:left="0" w:right="38" w:firstLine="0"/>
        <w:jc w:val="right"/>
        <w:rPr>
          <w:rFonts w:ascii="Calibri"/>
          <w:sz w:val="20"/>
        </w:rPr>
      </w:pPr>
      <w:r>
        <w:rPr>
          <w:rFonts w:ascii="Calibri"/>
          <w:sz w:val="20"/>
        </w:rPr>
        <w:t>100</w:t>
      </w:r>
    </w:p>
    <w:p>
      <w:pPr>
        <w:spacing w:before="59"/>
        <w:ind w:left="860" w:right="1994" w:firstLine="0"/>
        <w:jc w:val="left"/>
        <w:rPr>
          <w:rFonts w:ascii="Calibri"/>
          <w:sz w:val="20"/>
        </w:rPr>
      </w:pPr>
      <w:r>
        <w:rPr/>
        <w:br w:type="column"/>
      </w:r>
      <w:r>
        <w:rPr>
          <w:rFonts w:ascii="Calibri"/>
          <w:sz w:val="20"/>
        </w:rPr>
        <w:t>No</w:t>
      </w:r>
      <w:r>
        <w:rPr>
          <w:rFonts w:ascii="Calibri"/>
          <w:spacing w:val="-7"/>
          <w:sz w:val="20"/>
        </w:rPr>
        <w:t> </w:t>
      </w:r>
      <w:r>
        <w:rPr>
          <w:rFonts w:ascii="Calibri"/>
          <w:sz w:val="20"/>
        </w:rPr>
        <w:t>of</w:t>
      </w:r>
      <w:r>
        <w:rPr>
          <w:rFonts w:ascii="Calibri"/>
          <w:spacing w:val="-9"/>
          <w:sz w:val="20"/>
        </w:rPr>
        <w:t> </w:t>
      </w:r>
      <w:r>
        <w:rPr>
          <w:rFonts w:ascii="Calibri"/>
          <w:sz w:val="20"/>
        </w:rPr>
        <w:t>Negative</w:t>
      </w:r>
      <w:r>
        <w:rPr>
          <w:rFonts w:ascii="Calibri"/>
          <w:spacing w:val="-42"/>
          <w:sz w:val="20"/>
        </w:rPr>
        <w:t> </w:t>
      </w:r>
      <w:r>
        <w:rPr>
          <w:rFonts w:ascii="Calibri"/>
          <w:sz w:val="20"/>
        </w:rPr>
        <w:t>responses</w:t>
      </w:r>
    </w:p>
    <w:p>
      <w:pPr>
        <w:spacing w:after="0"/>
        <w:jc w:val="left"/>
        <w:rPr>
          <w:rFonts w:ascii="Calibri"/>
          <w:sz w:val="20"/>
        </w:rPr>
        <w:sectPr>
          <w:type w:val="continuous"/>
          <w:pgSz w:w="12240" w:h="15840"/>
          <w:pgMar w:top="1500" w:bottom="280" w:left="1300" w:right="1300"/>
          <w:cols w:num="2" w:equalWidth="0">
            <w:col w:w="1046" w:space="4523"/>
            <w:col w:w="4071"/>
          </w:cols>
        </w:sectPr>
      </w:pPr>
    </w:p>
    <w:p>
      <w:pPr>
        <w:pStyle w:val="BodyText"/>
        <w:spacing w:before="8"/>
        <w:rPr>
          <w:rFonts w:ascii="Calibri"/>
          <w:sz w:val="16"/>
        </w:rPr>
      </w:pPr>
    </w:p>
    <w:p>
      <w:pPr>
        <w:spacing w:before="59"/>
        <w:ind w:left="903" w:right="0" w:firstLine="0"/>
        <w:jc w:val="left"/>
        <w:rPr>
          <w:rFonts w:ascii="Calibri"/>
          <w:sz w:val="20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939241</wp:posOffset>
            </wp:positionH>
            <wp:positionV relativeFrom="paragraph">
              <wp:posOffset>220617</wp:posOffset>
            </wp:positionV>
            <wp:extent cx="3463497" cy="1385887"/>
            <wp:effectExtent l="0" t="0" r="0" b="0"/>
            <wp:wrapTopAndBottom/>
            <wp:docPr id="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3497" cy="1385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w w:val="99"/>
          <w:sz w:val="20"/>
        </w:rPr>
        <w:t>0</w:t>
      </w:r>
    </w:p>
    <w:p>
      <w:pPr>
        <w:pStyle w:val="Heading1"/>
        <w:ind w:left="1155"/>
      </w:pPr>
      <w:r>
        <w:rPr/>
        <w:t>Figure</w:t>
      </w:r>
      <w:r>
        <w:rPr>
          <w:spacing w:val="-11"/>
        </w:rPr>
        <w:t> </w:t>
      </w:r>
      <w:r>
        <w:rPr/>
        <w:t>1:Barriers</w:t>
      </w:r>
      <w:r>
        <w:rPr>
          <w:spacing w:val="-10"/>
        </w:rPr>
        <w:t> </w:t>
      </w:r>
      <w:r>
        <w:rPr/>
        <w:t>to</w:t>
      </w:r>
      <w:r>
        <w:rPr>
          <w:spacing w:val="-8"/>
        </w:rPr>
        <w:t> </w:t>
      </w:r>
      <w:r>
        <w:rPr/>
        <w:t>dental</w:t>
      </w:r>
      <w:r>
        <w:rPr>
          <w:spacing w:val="-7"/>
        </w:rPr>
        <w:t> </w:t>
      </w:r>
      <w:r>
        <w:rPr/>
        <w:t>and</w:t>
      </w:r>
      <w:r>
        <w:rPr>
          <w:spacing w:val="-8"/>
        </w:rPr>
        <w:t> </w:t>
      </w:r>
      <w:r>
        <w:rPr/>
        <w:t>oral</w:t>
      </w:r>
      <w:r>
        <w:rPr>
          <w:spacing w:val="-7"/>
        </w:rPr>
        <w:t> </w:t>
      </w:r>
      <w:r>
        <w:rPr/>
        <w:t>care</w:t>
      </w:r>
      <w:r>
        <w:rPr>
          <w:spacing w:val="-7"/>
        </w:rPr>
        <w:t> </w:t>
      </w:r>
      <w:r>
        <w:rPr/>
        <w:t>in</w:t>
      </w:r>
      <w:r>
        <w:rPr>
          <w:spacing w:val="-10"/>
        </w:rPr>
        <w:t> </w:t>
      </w:r>
      <w:r>
        <w:rPr/>
        <w:t>the</w:t>
      </w:r>
      <w:r>
        <w:rPr>
          <w:spacing w:val="-6"/>
        </w:rPr>
        <w:t> </w:t>
      </w:r>
      <w:r>
        <w:rPr/>
        <w:t>elderly</w:t>
      </w:r>
    </w:p>
    <w:p>
      <w:pPr>
        <w:spacing w:after="0"/>
        <w:sectPr>
          <w:type w:val="continuous"/>
          <w:pgSz w:w="12240" w:h="15840"/>
          <w:pgMar w:top="1500" w:bottom="280" w:left="1300" w:right="1300"/>
        </w:sectPr>
      </w:pPr>
    </w:p>
    <w:p>
      <w:pPr>
        <w:spacing w:before="22"/>
        <w:ind w:left="140" w:right="0" w:firstLine="0"/>
        <w:jc w:val="both"/>
        <w:rPr>
          <w:rFonts w:ascii="Calibri"/>
          <w:b/>
          <w:sz w:val="28"/>
        </w:rPr>
      </w:pPr>
      <w:r>
        <w:rPr>
          <w:rFonts w:ascii="Calibri"/>
          <w:b/>
          <w:sz w:val="28"/>
        </w:rPr>
        <w:t>Biography</w:t>
      </w:r>
      <w:r>
        <w:rPr>
          <w:rFonts w:ascii="Calibri"/>
          <w:b/>
          <w:spacing w:val="-4"/>
          <w:sz w:val="28"/>
        </w:rPr>
        <w:t> </w:t>
      </w:r>
      <w:r>
        <w:rPr>
          <w:rFonts w:ascii="Calibri"/>
          <w:b/>
          <w:sz w:val="28"/>
        </w:rPr>
        <w:t>of</w:t>
      </w:r>
      <w:r>
        <w:rPr>
          <w:rFonts w:ascii="Calibri"/>
          <w:b/>
          <w:spacing w:val="-2"/>
          <w:sz w:val="28"/>
        </w:rPr>
        <w:t> </w:t>
      </w:r>
      <w:r>
        <w:rPr>
          <w:rFonts w:ascii="Calibri"/>
          <w:b/>
          <w:sz w:val="28"/>
        </w:rPr>
        <w:t>the</w:t>
      </w:r>
      <w:r>
        <w:rPr>
          <w:rFonts w:ascii="Calibri"/>
          <w:b/>
          <w:spacing w:val="-1"/>
          <w:sz w:val="28"/>
        </w:rPr>
        <w:t> </w:t>
      </w:r>
      <w:r>
        <w:rPr>
          <w:rFonts w:ascii="Calibri"/>
          <w:b/>
          <w:sz w:val="28"/>
        </w:rPr>
        <w:t>presenter</w:t>
      </w:r>
    </w:p>
    <w:p>
      <w:pPr>
        <w:pStyle w:val="BodyText"/>
        <w:spacing w:line="480" w:lineRule="auto" w:before="241"/>
        <w:ind w:left="140" w:right="136"/>
        <w:jc w:val="both"/>
      </w:pPr>
      <w:r>
        <w:rPr/>
        <w:t>Balogun Abimbola is a researcher whose interest is on oral health delivery to the elderly. Oral</w:t>
      </w:r>
      <w:r>
        <w:rPr>
          <w:spacing w:val="1"/>
        </w:rPr>
        <w:t> </w:t>
      </w:r>
      <w:r>
        <w:rPr/>
        <w:t>health</w:t>
      </w:r>
      <w:r>
        <w:rPr>
          <w:spacing w:val="1"/>
        </w:rPr>
        <w:t> </w:t>
      </w:r>
      <w:r>
        <w:rPr/>
        <w:t>care must</w:t>
      </w:r>
      <w:r>
        <w:rPr>
          <w:spacing w:val="1"/>
        </w:rPr>
        <w:t> </w:t>
      </w:r>
      <w:r>
        <w:rPr/>
        <w:t>be accessible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every segment</w:t>
      </w:r>
      <w:r>
        <w:rPr>
          <w:spacing w:val="1"/>
        </w:rPr>
        <w:t> </w:t>
      </w:r>
      <w:r>
        <w:rPr/>
        <w:t>of the</w:t>
      </w:r>
      <w:r>
        <w:rPr>
          <w:spacing w:val="1"/>
        </w:rPr>
        <w:t> </w:t>
      </w:r>
      <w:r>
        <w:rPr/>
        <w:t>population</w:t>
      </w:r>
      <w:r>
        <w:rPr>
          <w:spacing w:val="1"/>
        </w:rPr>
        <w:t> </w:t>
      </w:r>
      <w:r>
        <w:rPr/>
        <w:t>so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bridge the</w:t>
      </w:r>
      <w:r>
        <w:rPr>
          <w:spacing w:val="60"/>
        </w:rPr>
        <w:t> </w:t>
      </w:r>
      <w:r>
        <w:rPr/>
        <w:t>gap</w:t>
      </w:r>
      <w:r>
        <w:rPr>
          <w:spacing w:val="1"/>
        </w:rPr>
        <w:t> </w:t>
      </w:r>
      <w:r>
        <w:rPr/>
        <w:t>between the need for care and the amount of care being sought. In order to achieve this, the</w:t>
      </w:r>
      <w:r>
        <w:rPr>
          <w:spacing w:val="1"/>
        </w:rPr>
        <w:t> </w:t>
      </w:r>
      <w:r>
        <w:rPr/>
        <w:t>barriers preventing elderly people from accessing the oral health care services must be put into</w:t>
      </w:r>
      <w:r>
        <w:rPr>
          <w:spacing w:val="1"/>
        </w:rPr>
        <w:t> </w:t>
      </w:r>
      <w:r>
        <w:rPr/>
        <w:t>consideration</w:t>
      </w:r>
      <w:r>
        <w:rPr>
          <w:spacing w:val="-1"/>
        </w:rPr>
        <w:t> </w:t>
      </w:r>
      <w:r>
        <w:rPr/>
        <w:t>and</w:t>
      </w:r>
      <w:r>
        <w:rPr>
          <w:spacing w:val="1"/>
        </w:rPr>
        <w:t> </w:t>
      </w:r>
      <w:r>
        <w:rPr/>
        <w:t>access</w:t>
      </w:r>
      <w:r>
        <w:rPr>
          <w:spacing w:val="2"/>
        </w:rPr>
        <w:t> </w:t>
      </w:r>
      <w:r>
        <w:rPr/>
        <w:t>to</w:t>
      </w:r>
      <w:r>
        <w:rPr>
          <w:spacing w:val="-1"/>
        </w:rPr>
        <w:t> </w:t>
      </w:r>
      <w:r>
        <w:rPr/>
        <w:t>oral</w:t>
      </w:r>
      <w:r>
        <w:rPr>
          <w:spacing w:val="-1"/>
        </w:rPr>
        <w:t> </w:t>
      </w:r>
      <w:r>
        <w:rPr/>
        <w:t>health in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elderly</w:t>
      </w:r>
      <w:r>
        <w:rPr>
          <w:spacing w:val="-5"/>
        </w:rPr>
        <w:t> </w:t>
      </w:r>
      <w:r>
        <w:rPr/>
        <w:t>need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be accorded</w:t>
      </w:r>
      <w:r>
        <w:rPr>
          <w:spacing w:val="-1"/>
        </w:rPr>
        <w:t> </w:t>
      </w:r>
      <w:r>
        <w:rPr/>
        <w:t>utmost</w:t>
      </w:r>
      <w:r>
        <w:rPr>
          <w:spacing w:val="-1"/>
        </w:rPr>
        <w:t> </w:t>
      </w:r>
      <w:r>
        <w:rPr/>
        <w:t>priority.</w:t>
      </w:r>
    </w:p>
    <w:p>
      <w:pPr>
        <w:tabs>
          <w:tab w:pos="5901" w:val="left" w:leader="none"/>
        </w:tabs>
        <w:spacing w:before="123"/>
        <w:ind w:left="140" w:right="0" w:firstLine="0"/>
        <w:jc w:val="left"/>
        <w:rPr>
          <w:sz w:val="24"/>
        </w:rPr>
      </w:pPr>
      <w:r>
        <w:rPr>
          <w:b/>
          <w:sz w:val="24"/>
        </w:rPr>
        <w:t>Date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of Birth:</w:t>
      </w:r>
      <w:r>
        <w:rPr>
          <w:b/>
          <w:spacing w:val="-2"/>
          <w:sz w:val="24"/>
        </w:rPr>
        <w:t> </w:t>
      </w:r>
      <w:r>
        <w:rPr>
          <w:sz w:val="24"/>
        </w:rPr>
        <w:t>5th October,</w:t>
      </w:r>
      <w:r>
        <w:rPr>
          <w:spacing w:val="-1"/>
          <w:sz w:val="24"/>
        </w:rPr>
        <w:t> </w:t>
      </w:r>
      <w:r>
        <w:rPr>
          <w:sz w:val="24"/>
        </w:rPr>
        <w:t>1976</w:t>
        <w:tab/>
      </w:r>
      <w:r>
        <w:rPr>
          <w:b/>
          <w:sz w:val="24"/>
        </w:rPr>
        <w:t>Nationality:</w:t>
      </w:r>
      <w:r>
        <w:rPr>
          <w:b/>
          <w:spacing w:val="-2"/>
          <w:sz w:val="24"/>
        </w:rPr>
        <w:t> </w:t>
      </w:r>
      <w:r>
        <w:rPr>
          <w:sz w:val="24"/>
        </w:rPr>
        <w:t>Nigeria</w:t>
      </w:r>
    </w:p>
    <w:p>
      <w:pPr>
        <w:tabs>
          <w:tab w:pos="5901" w:val="left" w:leader="none"/>
        </w:tabs>
        <w:spacing w:before="41"/>
        <w:ind w:left="140" w:right="0" w:firstLine="0"/>
        <w:jc w:val="left"/>
        <w:rPr>
          <w:b/>
          <w:sz w:val="24"/>
        </w:rPr>
      </w:pPr>
      <w:r>
        <w:rPr>
          <w:b/>
          <w:sz w:val="24"/>
        </w:rPr>
        <w:t>Gender: </w:t>
      </w:r>
      <w:r>
        <w:rPr>
          <w:sz w:val="24"/>
        </w:rPr>
        <w:t>Female</w:t>
        <w:tab/>
      </w:r>
      <w:r>
        <w:rPr>
          <w:b/>
          <w:sz w:val="24"/>
        </w:rPr>
        <w:t>Address:</w:t>
      </w:r>
    </w:p>
    <w:p>
      <w:pPr>
        <w:tabs>
          <w:tab w:pos="5901" w:val="left" w:leader="none"/>
        </w:tabs>
        <w:spacing w:before="41"/>
        <w:ind w:left="140" w:right="0" w:firstLine="0"/>
        <w:jc w:val="left"/>
        <w:rPr>
          <w:sz w:val="24"/>
        </w:rPr>
      </w:pPr>
      <w:r>
        <w:rPr>
          <w:b/>
          <w:sz w:val="24"/>
        </w:rPr>
        <w:t>Marital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Status:</w:t>
      </w:r>
      <w:r>
        <w:rPr>
          <w:b/>
          <w:spacing w:val="-2"/>
          <w:sz w:val="24"/>
        </w:rPr>
        <w:t> </w:t>
      </w:r>
      <w:r>
        <w:rPr>
          <w:sz w:val="24"/>
        </w:rPr>
        <w:t>Married</w:t>
        <w:tab/>
      </w:r>
      <w:r>
        <w:rPr>
          <w:b/>
          <w:sz w:val="24"/>
        </w:rPr>
        <w:t>Tel:</w:t>
      </w:r>
      <w:r>
        <w:rPr>
          <w:b/>
          <w:spacing w:val="-1"/>
          <w:sz w:val="24"/>
        </w:rPr>
        <w:t> </w:t>
      </w:r>
      <w:r>
        <w:rPr>
          <w:sz w:val="24"/>
        </w:rPr>
        <w:t>07066785708</w:t>
      </w:r>
    </w:p>
    <w:p>
      <w:pPr>
        <w:tabs>
          <w:tab w:pos="5181" w:val="left" w:leader="none"/>
        </w:tabs>
        <w:spacing w:before="43"/>
        <w:ind w:left="140" w:right="0" w:firstLine="0"/>
        <w:jc w:val="left"/>
        <w:rPr>
          <w:sz w:val="24"/>
        </w:rPr>
      </w:pPr>
      <w:r>
        <w:rPr>
          <w:b/>
          <w:sz w:val="24"/>
        </w:rPr>
        <w:t>State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of Origin:</w:t>
      </w:r>
      <w:r>
        <w:rPr>
          <w:b/>
          <w:spacing w:val="-2"/>
          <w:sz w:val="24"/>
        </w:rPr>
        <w:t> </w:t>
      </w:r>
      <w:r>
        <w:rPr>
          <w:sz w:val="24"/>
        </w:rPr>
        <w:t>Oyo</w:t>
        <w:tab/>
      </w:r>
      <w:r>
        <w:rPr>
          <w:b/>
          <w:sz w:val="24"/>
        </w:rPr>
        <w:t>E-mail</w:t>
      </w:r>
      <w:r>
        <w:rPr>
          <w:b/>
          <w:color w:val="4F81BC"/>
          <w:sz w:val="24"/>
        </w:rPr>
        <w:t>:</w:t>
      </w:r>
      <w:r>
        <w:rPr>
          <w:b/>
          <w:color w:val="4F81BC"/>
          <w:spacing w:val="-3"/>
          <w:sz w:val="24"/>
        </w:rPr>
        <w:t> </w:t>
      </w:r>
      <w:hyperlink r:id="rId9">
        <w:r>
          <w:rPr>
            <w:color w:val="4F81BC"/>
            <w:sz w:val="24"/>
          </w:rPr>
          <w:t>josbalo510@gmail.com</w:t>
        </w:r>
      </w:hyperlink>
    </w:p>
    <w:p>
      <w:pPr>
        <w:spacing w:before="41"/>
        <w:ind w:left="140" w:right="0" w:firstLine="0"/>
        <w:jc w:val="left"/>
        <w:rPr>
          <w:sz w:val="24"/>
        </w:rPr>
      </w:pPr>
      <w:r>
        <w:rPr/>
        <w:pict>
          <v:rect style="position:absolute;margin-left:70.584pt;margin-top:19.253149pt;width:470.95pt;height:.47998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  <w:r>
        <w:rPr>
          <w:b/>
          <w:sz w:val="24"/>
        </w:rPr>
        <w:t>Religion:</w:t>
      </w:r>
      <w:r>
        <w:rPr>
          <w:b/>
          <w:spacing w:val="-2"/>
          <w:sz w:val="24"/>
        </w:rPr>
        <w:t> </w:t>
      </w:r>
      <w:r>
        <w:rPr>
          <w:sz w:val="24"/>
        </w:rPr>
        <w:t>Christianity</w:t>
      </w:r>
    </w:p>
    <w:p>
      <w:pPr>
        <w:pStyle w:val="BodyText"/>
        <w:spacing w:before="1"/>
        <w:rPr>
          <w:sz w:val="17"/>
        </w:rPr>
      </w:pPr>
    </w:p>
    <w:p>
      <w:pPr>
        <w:pStyle w:val="Heading2"/>
        <w:spacing w:before="90"/>
      </w:pPr>
      <w:r>
        <w:rPr/>
        <w:t>EDUCATION:</w:t>
      </w:r>
    </w:p>
    <w:p>
      <w:pPr>
        <w:pStyle w:val="ListParagraph"/>
        <w:numPr>
          <w:ilvl w:val="0"/>
          <w:numId w:val="2"/>
        </w:numPr>
        <w:tabs>
          <w:tab w:pos="860" w:val="left" w:leader="none"/>
          <w:tab w:pos="861" w:val="left" w:leader="none"/>
        </w:tabs>
        <w:spacing w:line="240" w:lineRule="auto" w:before="41" w:after="0"/>
        <w:ind w:left="860" w:right="0" w:hanging="361"/>
        <w:jc w:val="left"/>
        <w:rPr>
          <w:b/>
          <w:sz w:val="24"/>
        </w:rPr>
      </w:pPr>
      <w:r>
        <w:rPr>
          <w:b/>
          <w:sz w:val="24"/>
        </w:rPr>
        <w:t>National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Postgraduate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Medical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College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Of Nigeria:</w:t>
      </w:r>
    </w:p>
    <w:p>
      <w:pPr>
        <w:pStyle w:val="BodyText"/>
        <w:tabs>
          <w:tab w:pos="8541" w:val="right" w:leader="none"/>
        </w:tabs>
        <w:spacing w:before="133"/>
        <w:ind w:left="920"/>
      </w:pPr>
      <w:r>
        <w:rPr/>
        <w:t>Fellowship</w:t>
      </w:r>
      <w:r>
        <w:rPr>
          <w:spacing w:val="-1"/>
        </w:rPr>
        <w:t> </w:t>
      </w:r>
      <w:r>
        <w:rPr/>
        <w:t>of Medical College</w:t>
      </w:r>
      <w:r>
        <w:rPr>
          <w:spacing w:val="2"/>
        </w:rPr>
        <w:t> </w:t>
      </w:r>
      <w:r>
        <w:rPr/>
        <w:t>Family</w:t>
      </w:r>
      <w:r>
        <w:rPr>
          <w:spacing w:val="-5"/>
        </w:rPr>
        <w:t> </w:t>
      </w:r>
      <w:r>
        <w:rPr/>
        <w:t>Dentistry</w:t>
      </w:r>
      <w:r>
        <w:rPr>
          <w:spacing w:val="-5"/>
        </w:rPr>
        <w:t> </w:t>
      </w:r>
      <w:r>
        <w:rPr/>
        <w:t>(FMCFD)</w:t>
        <w:tab/>
        <w:t>2015</w:t>
      </w:r>
    </w:p>
    <w:p>
      <w:pPr>
        <w:pStyle w:val="ListParagraph"/>
        <w:numPr>
          <w:ilvl w:val="0"/>
          <w:numId w:val="2"/>
        </w:numPr>
        <w:tabs>
          <w:tab w:pos="860" w:val="left" w:leader="none"/>
          <w:tab w:pos="861" w:val="left" w:leader="none"/>
          <w:tab w:pos="8541" w:val="right" w:leader="none"/>
        </w:tabs>
        <w:spacing w:line="240" w:lineRule="auto" w:before="137" w:after="0"/>
        <w:ind w:left="860" w:right="0" w:hanging="361"/>
        <w:jc w:val="left"/>
        <w:rPr>
          <w:sz w:val="24"/>
        </w:rPr>
      </w:pPr>
      <w:r>
        <w:rPr>
          <w:b/>
          <w:sz w:val="24"/>
        </w:rPr>
        <w:t>University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Ibadan :</w:t>
      </w:r>
      <w:r>
        <w:rPr>
          <w:b/>
          <w:spacing w:val="-2"/>
          <w:sz w:val="24"/>
        </w:rPr>
        <w:t> </w:t>
      </w:r>
      <w:r>
        <w:rPr>
          <w:sz w:val="24"/>
        </w:rPr>
        <w:t>Bachelor of</w:t>
      </w:r>
      <w:r>
        <w:rPr>
          <w:spacing w:val="-1"/>
          <w:sz w:val="24"/>
        </w:rPr>
        <w:t> </w:t>
      </w:r>
      <w:r>
        <w:rPr>
          <w:sz w:val="24"/>
        </w:rPr>
        <w:t>Dental Surgery</w:t>
        <w:tab/>
        <w:t>2003</w:t>
      </w:r>
    </w:p>
    <w:p>
      <w:pPr>
        <w:pStyle w:val="ListParagraph"/>
        <w:numPr>
          <w:ilvl w:val="0"/>
          <w:numId w:val="2"/>
        </w:numPr>
        <w:tabs>
          <w:tab w:pos="860" w:val="left" w:leader="none"/>
          <w:tab w:pos="861" w:val="left" w:leader="none"/>
          <w:tab w:pos="8541" w:val="right" w:leader="none"/>
        </w:tabs>
        <w:spacing w:line="240" w:lineRule="auto" w:before="140" w:after="0"/>
        <w:ind w:left="860" w:right="0" w:hanging="361"/>
        <w:jc w:val="left"/>
        <w:rPr>
          <w:sz w:val="24"/>
        </w:rPr>
      </w:pPr>
      <w:r>
        <w:rPr/>
        <w:pict>
          <v:rect style="position:absolute;margin-left:88.584pt;margin-top:29.744453pt;width:452.95pt;height:.48001pt;mso-position-horizontal-relative:page;mso-position-vertical-relative:paragraph;z-index:15731712" filled="true" fillcolor="#000000" stroked="false">
            <v:fill type="solid"/>
            <w10:wrap type="none"/>
          </v:rect>
        </w:pict>
      </w:r>
      <w:r>
        <w:rPr>
          <w:b/>
          <w:sz w:val="24"/>
        </w:rPr>
        <w:t>Wesley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College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Science,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Elekuro, Ibadan</w:t>
      </w:r>
      <w:r>
        <w:rPr>
          <w:b/>
          <w:spacing w:val="4"/>
          <w:sz w:val="24"/>
        </w:rPr>
        <w:t> </w:t>
      </w:r>
      <w:r>
        <w:rPr>
          <w:sz w:val="24"/>
        </w:rPr>
        <w:t>(SSCE)</w:t>
        <w:tab/>
        <w:t>1994</w:t>
      </w:r>
    </w:p>
    <w:p>
      <w:pPr>
        <w:spacing w:before="445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WORK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HISTORY</w:t>
      </w:r>
    </w:p>
    <w:p>
      <w:pPr>
        <w:spacing w:before="239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Consultant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Family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Dentist,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University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College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Hospital,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Ibadan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09/2019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date</w:t>
      </w:r>
    </w:p>
    <w:sectPr>
      <w:pgSz w:w="12240" w:h="15840"/>
      <w:pgMar w:top="1420" w:bottom="28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ambria Math">
    <w:altName w:val="Cambria Math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860" w:hanging="360"/>
      </w:pPr>
      <w:rPr>
        <w:rFonts w:hint="default" w:ascii="Symbol" w:hAnsi="Symbol" w:eastAsia="Symbol" w:cs="Symbol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3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1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9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5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2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0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84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71" w:hanging="360"/>
        <w:jc w:val="left"/>
      </w:pPr>
      <w:rPr>
        <w:rFonts w:hint="default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6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5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3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9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8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68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57" w:lineRule="exact"/>
      <w:ind w:left="20"/>
      <w:outlineLvl w:val="1"/>
    </w:pPr>
    <w:rPr>
      <w:rFonts w:ascii="Calibri" w:hAnsi="Calibri" w:eastAsia="Calibri" w:cs="Calibri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0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40"/>
      <w:ind w:left="140" w:right="138"/>
      <w:jc w:val="both"/>
    </w:pPr>
    <w:rPr>
      <w:rFonts w:ascii="Cambria" w:hAnsi="Cambria" w:eastAsia="Cambria" w:cs="Cambria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71" w:hanging="360"/>
      <w:jc w:val="both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josbalo510@gmail.com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dcterms:created xsi:type="dcterms:W3CDTF">2023-02-20T11:49:25Z</dcterms:created>
  <dcterms:modified xsi:type="dcterms:W3CDTF">2023-02-20T11:49:25Z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2023-02-20T00:00:00Z</vt:filetime>
  </property>
</Properties>
</file>