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357" w:lineRule="auto" w:before="62"/>
        <w:ind w:left="505" w:firstLine="60"/>
      </w:pPr>
      <w:r>
        <w:rPr/>
        <w:t>Long-term Results of Maxilla Full-Arch Reconstruction using</w:t>
      </w:r>
      <w:r>
        <w:rPr>
          <w:spacing w:val="-77"/>
        </w:rPr>
        <w:t> </w:t>
      </w:r>
      <w:r>
        <w:rPr/>
        <w:t>Transitional</w:t>
      </w:r>
      <w:r>
        <w:rPr>
          <w:spacing w:val="-2"/>
        </w:rPr>
        <w:t> </w:t>
      </w:r>
      <w:r>
        <w:rPr/>
        <w:t>Implants–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Case</w:t>
      </w:r>
      <w:r>
        <w:rPr>
          <w:spacing w:val="-4"/>
        </w:rPr>
        <w:t> </w:t>
      </w:r>
      <w:r>
        <w:rPr/>
        <w:t>Report</w:t>
      </w:r>
      <w:r>
        <w:rPr>
          <w:spacing w:val="-2"/>
        </w:rPr>
        <w:t> </w:t>
      </w:r>
      <w:r>
        <w:rPr/>
        <w:t>with</w:t>
      </w:r>
      <w:r>
        <w:rPr>
          <w:spacing w:val="1"/>
        </w:rPr>
        <w:t> </w:t>
      </w:r>
      <w:r>
        <w:rPr/>
        <w:t>20</w:t>
      </w:r>
      <w:r>
        <w:rPr>
          <w:spacing w:val="-2"/>
        </w:rPr>
        <w:t> </w:t>
      </w:r>
      <w:r>
        <w:rPr/>
        <w:t>Year</w:t>
      </w:r>
      <w:r>
        <w:rPr>
          <w:spacing w:val="-4"/>
        </w:rPr>
        <w:t> </w:t>
      </w:r>
      <w:r>
        <w:rPr/>
        <w:t>Follow-up</w:t>
      </w:r>
    </w:p>
    <w:p>
      <w:pPr>
        <w:pStyle w:val="BodyText"/>
        <w:rPr>
          <w:b/>
          <w:sz w:val="34"/>
        </w:rPr>
      </w:pPr>
    </w:p>
    <w:p>
      <w:pPr>
        <w:pStyle w:val="BodyText"/>
        <w:spacing w:before="9"/>
        <w:rPr>
          <w:b/>
          <w:sz w:val="47"/>
        </w:rPr>
      </w:pPr>
    </w:p>
    <w:p>
      <w:pPr>
        <w:pStyle w:val="Heading2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0" w:after="0"/>
        <w:ind w:left="821" w:right="0" w:hanging="361"/>
        <w:jc w:val="left"/>
      </w:pPr>
      <w:r>
        <w:rPr/>
        <w:t>Klenise</w:t>
      </w:r>
      <w:r>
        <w:rPr>
          <w:spacing w:val="-3"/>
        </w:rPr>
        <w:t> </w:t>
      </w:r>
      <w:r>
        <w:rPr/>
        <w:t>S</w:t>
      </w:r>
      <w:r>
        <w:rPr>
          <w:spacing w:val="-2"/>
        </w:rPr>
        <w:t> </w:t>
      </w:r>
      <w:r>
        <w:rPr/>
        <w:t>Paranhos,</w:t>
      </w:r>
      <w:r>
        <w:rPr>
          <w:spacing w:val="-2"/>
        </w:rPr>
        <w:t> </w:t>
      </w:r>
      <w:r>
        <w:rPr/>
        <w:t>DDS,</w:t>
      </w:r>
      <w:r>
        <w:rPr>
          <w:spacing w:val="4"/>
        </w:rPr>
        <w:t> </w:t>
      </w:r>
      <w:r>
        <w:rPr/>
        <w:t>MS,</w:t>
      </w:r>
      <w:r>
        <w:rPr>
          <w:spacing w:val="-2"/>
        </w:rPr>
        <w:t> </w:t>
      </w:r>
      <w:r>
        <w:rPr/>
        <w:t>DICOI</w:t>
      </w:r>
    </w:p>
    <w:p>
      <w:pPr>
        <w:spacing w:before="163"/>
        <w:ind w:left="100" w:right="0" w:firstLine="0"/>
        <w:jc w:val="left"/>
        <w:rPr>
          <w:sz w:val="28"/>
        </w:rPr>
      </w:pPr>
      <w:r>
        <w:rPr>
          <w:sz w:val="28"/>
        </w:rPr>
        <w:t>Clinical</w:t>
      </w:r>
      <w:r>
        <w:rPr>
          <w:spacing w:val="-4"/>
          <w:sz w:val="28"/>
        </w:rPr>
        <w:t> </w:t>
      </w:r>
      <w:r>
        <w:rPr>
          <w:sz w:val="28"/>
        </w:rPr>
        <w:t>Assistant</w:t>
      </w:r>
      <w:r>
        <w:rPr>
          <w:spacing w:val="-3"/>
          <w:sz w:val="28"/>
        </w:rPr>
        <w:t> </w:t>
      </w:r>
      <w:r>
        <w:rPr>
          <w:sz w:val="28"/>
        </w:rPr>
        <w:t>Professor</w:t>
      </w:r>
      <w:r>
        <w:rPr>
          <w:spacing w:val="2"/>
          <w:sz w:val="28"/>
        </w:rPr>
        <w:t> </w:t>
      </w:r>
      <w:r>
        <w:rPr>
          <w:sz w:val="28"/>
        </w:rPr>
        <w:t>and</w:t>
      </w:r>
      <w:r>
        <w:rPr>
          <w:spacing w:val="-5"/>
          <w:sz w:val="28"/>
        </w:rPr>
        <w:t> </w:t>
      </w:r>
      <w:r>
        <w:rPr>
          <w:sz w:val="28"/>
        </w:rPr>
        <w:t>Assistant</w:t>
      </w:r>
      <w:r>
        <w:rPr>
          <w:spacing w:val="-3"/>
          <w:sz w:val="28"/>
        </w:rPr>
        <w:t> </w:t>
      </w:r>
      <w:r>
        <w:rPr>
          <w:sz w:val="28"/>
        </w:rPr>
        <w:t>General</w:t>
      </w:r>
      <w:r>
        <w:rPr>
          <w:spacing w:val="-3"/>
          <w:sz w:val="28"/>
        </w:rPr>
        <w:t> </w:t>
      </w:r>
      <w:r>
        <w:rPr>
          <w:sz w:val="28"/>
        </w:rPr>
        <w:t>Practice</w:t>
      </w:r>
      <w:r>
        <w:rPr>
          <w:spacing w:val="-3"/>
          <w:sz w:val="28"/>
        </w:rPr>
        <w:t> </w:t>
      </w:r>
      <w:r>
        <w:rPr>
          <w:sz w:val="28"/>
        </w:rPr>
        <w:t>Director</w:t>
      </w:r>
    </w:p>
    <w:p>
      <w:pPr>
        <w:spacing w:before="158"/>
        <w:ind w:left="100" w:right="0" w:firstLine="0"/>
        <w:jc w:val="left"/>
        <w:rPr>
          <w:sz w:val="28"/>
        </w:rPr>
      </w:pPr>
      <w:r>
        <w:rPr>
          <w:sz w:val="28"/>
        </w:rPr>
        <w:t>At</w:t>
      </w:r>
      <w:r>
        <w:rPr>
          <w:spacing w:val="67"/>
          <w:sz w:val="28"/>
        </w:rPr>
        <w:t> </w:t>
      </w:r>
      <w:r>
        <w:rPr>
          <w:sz w:val="28"/>
        </w:rPr>
        <w:t>Cariology</w:t>
      </w:r>
      <w:r>
        <w:rPr>
          <w:spacing w:val="-2"/>
          <w:sz w:val="28"/>
        </w:rPr>
        <w:t> </w:t>
      </w:r>
      <w:r>
        <w:rPr>
          <w:sz w:val="28"/>
        </w:rPr>
        <w:t>&amp;</w:t>
      </w:r>
      <w:r>
        <w:rPr>
          <w:spacing w:val="-1"/>
          <w:sz w:val="28"/>
        </w:rPr>
        <w:t> </w:t>
      </w:r>
      <w:r>
        <w:rPr>
          <w:sz w:val="28"/>
        </w:rPr>
        <w:t>Comprehensive</w:t>
      </w:r>
      <w:r>
        <w:rPr>
          <w:spacing w:val="-2"/>
          <w:sz w:val="28"/>
        </w:rPr>
        <w:t> </w:t>
      </w:r>
      <w:r>
        <w:rPr>
          <w:sz w:val="28"/>
        </w:rPr>
        <w:t>Care</w:t>
      </w:r>
      <w:r>
        <w:rPr>
          <w:spacing w:val="1"/>
          <w:sz w:val="28"/>
        </w:rPr>
        <w:t> </w:t>
      </w:r>
      <w:r>
        <w:rPr>
          <w:sz w:val="28"/>
        </w:rPr>
        <w:t>New</w:t>
      </w:r>
      <w:r>
        <w:rPr>
          <w:spacing w:val="-8"/>
          <w:sz w:val="28"/>
        </w:rPr>
        <w:t> </w:t>
      </w:r>
      <w:r>
        <w:rPr>
          <w:sz w:val="28"/>
        </w:rPr>
        <w:t>York</w:t>
      </w:r>
      <w:r>
        <w:rPr>
          <w:spacing w:val="-3"/>
          <w:sz w:val="28"/>
        </w:rPr>
        <w:t> </w:t>
      </w:r>
      <w:r>
        <w:rPr>
          <w:sz w:val="28"/>
        </w:rPr>
        <w:t>University</w:t>
      </w:r>
      <w:r>
        <w:rPr>
          <w:spacing w:val="-2"/>
          <w:sz w:val="28"/>
        </w:rPr>
        <w:t> </w:t>
      </w:r>
      <w:r>
        <w:rPr>
          <w:sz w:val="28"/>
        </w:rPr>
        <w:t>College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Dentistry.</w:t>
      </w:r>
    </w:p>
    <w:p>
      <w:pPr>
        <w:pStyle w:val="Heading2"/>
        <w:spacing w:before="163"/>
      </w:pPr>
      <w:hyperlink r:id="rId5">
        <w:r>
          <w:rPr/>
          <w:t>kp21@nyu.edu</w:t>
        </w:r>
      </w:hyperlink>
    </w:p>
    <w:p>
      <w:pPr>
        <w:pStyle w:val="BodyText"/>
        <w:rPr>
          <w:b/>
          <w:sz w:val="30"/>
        </w:rPr>
      </w:pPr>
    </w:p>
    <w:p>
      <w:pPr>
        <w:pStyle w:val="BodyText"/>
        <w:spacing w:before="11"/>
        <w:rPr>
          <w:b/>
          <w:sz w:val="25"/>
        </w:rPr>
      </w:pPr>
    </w:p>
    <w:p>
      <w:pPr>
        <w:spacing w:before="0"/>
        <w:ind w:left="100" w:right="0" w:firstLine="0"/>
        <w:jc w:val="left"/>
        <w:rPr>
          <w:b/>
          <w:sz w:val="28"/>
        </w:rPr>
      </w:pPr>
      <w:r>
        <w:rPr>
          <w:b/>
          <w:sz w:val="28"/>
        </w:rPr>
        <w:t>ABSTRACT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360" w:lineRule="auto" w:before="195"/>
        <w:ind w:left="100" w:right="1268"/>
        <w:jc w:val="both"/>
      </w:pPr>
      <w:r>
        <w:rPr/>
        <w:t>Because of their documented long-term success rates, have become a popular treatment option to</w:t>
      </w:r>
      <w:r>
        <w:rPr>
          <w:spacing w:val="-57"/>
        </w:rPr>
        <w:t> </w:t>
      </w:r>
      <w:r>
        <w:rPr/>
        <w:t>replace hopeless or missing teeth. However, full-arch transition from hopeless dentition to a</w:t>
      </w:r>
      <w:r>
        <w:rPr>
          <w:spacing w:val="1"/>
        </w:rPr>
        <w:t> </w:t>
      </w:r>
      <w:r>
        <w:rPr/>
        <w:t>prostheses supported by dental implants is still a challenge. One of the treatment options for this</w:t>
      </w:r>
      <w:r>
        <w:rPr>
          <w:spacing w:val="1"/>
        </w:rPr>
        <w:t> </w:t>
      </w:r>
      <w:r>
        <w:rPr/>
        <w:t>transition is the use of transitional implants, which allow transitioning full-arch reconstructions</w:t>
      </w:r>
      <w:r>
        <w:rPr>
          <w:spacing w:val="1"/>
        </w:rPr>
        <w:t> </w:t>
      </w:r>
      <w:r>
        <w:rPr/>
        <w:t>from teeth to implant supported prostheses without the necessity of provisional removable partial</w:t>
      </w:r>
      <w:r>
        <w:rPr>
          <w:spacing w:val="-57"/>
        </w:rPr>
        <w:t> </w:t>
      </w:r>
      <w:r>
        <w:rPr/>
        <w:t>dentures. The purpose of this long-term clinical case report is to describe the steps, including</w:t>
      </w:r>
      <w:r>
        <w:rPr>
          <w:spacing w:val="1"/>
        </w:rPr>
        <w:t> </w:t>
      </w:r>
      <w:r>
        <w:rPr/>
        <w:t>diagnosis, treatment planning and sequence of therapy, involved in transitioning from hopeless</w:t>
      </w:r>
      <w:r>
        <w:rPr>
          <w:spacing w:val="1"/>
        </w:rPr>
        <w:t> </w:t>
      </w:r>
      <w:r>
        <w:rPr/>
        <w:t>dentition to a maxillary full-arch implant supported prosthetic rehabilitation with the use of</w:t>
      </w:r>
      <w:r>
        <w:rPr>
          <w:spacing w:val="1"/>
        </w:rPr>
        <w:t> </w:t>
      </w:r>
      <w:r>
        <w:rPr/>
        <w:t>transitional implants, while avoiding removable provisional prostheses. An assessment of the 20-</w:t>
      </w:r>
      <w:r>
        <w:rPr>
          <w:spacing w:val="-57"/>
        </w:rPr>
        <w:t> </w:t>
      </w:r>
      <w:r>
        <w:rPr/>
        <w:t>year</w:t>
      </w:r>
      <w:r>
        <w:rPr>
          <w:spacing w:val="-2"/>
        </w:rPr>
        <w:t> </w:t>
      </w:r>
      <w:r>
        <w:rPr/>
        <w:t>follow-up,</w:t>
      </w:r>
      <w:r>
        <w:rPr>
          <w:spacing w:val="-1"/>
        </w:rPr>
        <w:t> </w:t>
      </w:r>
      <w:r>
        <w:rPr/>
        <w:t>dental</w:t>
      </w:r>
      <w:r>
        <w:rPr>
          <w:spacing w:val="2"/>
        </w:rPr>
        <w:t> </w:t>
      </w:r>
      <w:r>
        <w:rPr/>
        <w:t>implant</w:t>
      </w:r>
      <w:r>
        <w:rPr>
          <w:spacing w:val="-3"/>
        </w:rPr>
        <w:t> </w:t>
      </w:r>
      <w:r>
        <w:rPr/>
        <w:t>survival</w:t>
      </w:r>
      <w:r>
        <w:rPr>
          <w:spacing w:val="-3"/>
        </w:rPr>
        <w:t> </w:t>
      </w:r>
      <w:r>
        <w:rPr/>
        <w:t>rates,</w:t>
      </w:r>
      <w:r>
        <w:rPr>
          <w:spacing w:val="-1"/>
        </w:rPr>
        <w:t> </w:t>
      </w:r>
      <w:r>
        <w:rPr/>
        <w:t>and</w:t>
      </w:r>
      <w:r>
        <w:rPr>
          <w:spacing w:val="3"/>
        </w:rPr>
        <w:t> </w:t>
      </w:r>
      <w:r>
        <w:rPr/>
        <w:t>marginal</w:t>
      </w:r>
      <w:r>
        <w:rPr>
          <w:spacing w:val="-3"/>
        </w:rPr>
        <w:t> </w:t>
      </w:r>
      <w:r>
        <w:rPr/>
        <w:t>bone</w:t>
      </w:r>
      <w:r>
        <w:rPr>
          <w:spacing w:val="1"/>
        </w:rPr>
        <w:t> </w:t>
      </w:r>
      <w:r>
        <w:rPr/>
        <w:t>loss (MBL)</w:t>
      </w:r>
      <w:r>
        <w:rPr>
          <w:spacing w:val="-1"/>
        </w:rPr>
        <w:t> </w:t>
      </w:r>
      <w:r>
        <w:rPr/>
        <w:t>is presented.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8"/>
        </w:rPr>
      </w:pPr>
    </w:p>
    <w:p>
      <w:pPr>
        <w:pStyle w:val="Heading1"/>
        <w:spacing w:line="242" w:lineRule="auto"/>
      </w:pPr>
      <w:r>
        <w:rPr/>
        <w:t>Replacing</w:t>
      </w:r>
      <w:r>
        <w:rPr>
          <w:spacing w:val="-5"/>
        </w:rPr>
        <w:t> </w:t>
      </w:r>
      <w:r>
        <w:rPr/>
        <w:t>Missing</w:t>
      </w:r>
      <w:r>
        <w:rPr>
          <w:spacing w:val="-5"/>
        </w:rPr>
        <w:t> </w:t>
      </w:r>
      <w:r>
        <w:rPr/>
        <w:t>Teeth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Dental</w:t>
      </w:r>
      <w:r>
        <w:rPr>
          <w:spacing w:val="-5"/>
        </w:rPr>
        <w:t> </w:t>
      </w:r>
      <w:r>
        <w:rPr/>
        <w:t>Implants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Pubescent</w:t>
      </w:r>
      <w:r>
        <w:rPr>
          <w:spacing w:val="-77"/>
        </w:rPr>
        <w:t> </w:t>
      </w:r>
      <w:r>
        <w:rPr/>
        <w:t>Patients</w:t>
      </w:r>
    </w:p>
    <w:p>
      <w:pPr>
        <w:pStyle w:val="BodyText"/>
        <w:rPr>
          <w:b/>
          <w:sz w:val="34"/>
        </w:rPr>
      </w:pPr>
    </w:p>
    <w:p>
      <w:pPr>
        <w:pStyle w:val="BodyText"/>
        <w:spacing w:before="9"/>
        <w:rPr>
          <w:b/>
          <w:sz w:val="46"/>
        </w:rPr>
      </w:pPr>
    </w:p>
    <w:p>
      <w:pPr>
        <w:pStyle w:val="Heading2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1" w:after="0"/>
        <w:ind w:left="821" w:right="0" w:hanging="361"/>
        <w:jc w:val="left"/>
      </w:pPr>
      <w:r>
        <w:rPr/>
        <w:t>Klenise</w:t>
      </w:r>
      <w:r>
        <w:rPr>
          <w:spacing w:val="-3"/>
        </w:rPr>
        <w:t> </w:t>
      </w:r>
      <w:r>
        <w:rPr/>
        <w:t>S</w:t>
      </w:r>
      <w:r>
        <w:rPr>
          <w:spacing w:val="-2"/>
        </w:rPr>
        <w:t> </w:t>
      </w:r>
      <w:r>
        <w:rPr/>
        <w:t>Paranhos,</w:t>
      </w:r>
      <w:r>
        <w:rPr>
          <w:spacing w:val="-2"/>
        </w:rPr>
        <w:t> </w:t>
      </w:r>
      <w:r>
        <w:rPr/>
        <w:t>DDS,</w:t>
      </w:r>
      <w:r>
        <w:rPr>
          <w:spacing w:val="4"/>
        </w:rPr>
        <w:t> </w:t>
      </w:r>
      <w:r>
        <w:rPr/>
        <w:t>MS,</w:t>
      </w:r>
      <w:r>
        <w:rPr>
          <w:spacing w:val="-2"/>
        </w:rPr>
        <w:t> </w:t>
      </w:r>
      <w:r>
        <w:rPr/>
        <w:t>DICOI</w:t>
      </w:r>
    </w:p>
    <w:p>
      <w:pPr>
        <w:spacing w:after="0" w:line="240" w:lineRule="auto"/>
        <w:jc w:val="left"/>
        <w:sectPr>
          <w:type w:val="continuous"/>
          <w:pgSz w:w="12240" w:h="15840"/>
          <w:pgMar w:top="1380" w:bottom="280" w:left="1340" w:right="160"/>
        </w:sectPr>
      </w:pPr>
    </w:p>
    <w:p>
      <w:pPr>
        <w:spacing w:before="64"/>
        <w:ind w:left="100" w:right="0" w:firstLine="0"/>
        <w:jc w:val="left"/>
        <w:rPr>
          <w:sz w:val="28"/>
        </w:rPr>
      </w:pPr>
      <w:r>
        <w:rPr>
          <w:sz w:val="28"/>
        </w:rPr>
        <w:t>Clinical</w:t>
      </w:r>
      <w:r>
        <w:rPr>
          <w:spacing w:val="-4"/>
          <w:sz w:val="28"/>
        </w:rPr>
        <w:t> </w:t>
      </w:r>
      <w:r>
        <w:rPr>
          <w:sz w:val="28"/>
        </w:rPr>
        <w:t>Assistant</w:t>
      </w:r>
      <w:r>
        <w:rPr>
          <w:spacing w:val="-3"/>
          <w:sz w:val="28"/>
        </w:rPr>
        <w:t> </w:t>
      </w:r>
      <w:r>
        <w:rPr>
          <w:sz w:val="28"/>
        </w:rPr>
        <w:t>Professor</w:t>
      </w:r>
      <w:r>
        <w:rPr>
          <w:spacing w:val="2"/>
          <w:sz w:val="28"/>
        </w:rPr>
        <w:t> </w:t>
      </w:r>
      <w:r>
        <w:rPr>
          <w:sz w:val="28"/>
        </w:rPr>
        <w:t>and</w:t>
      </w:r>
      <w:r>
        <w:rPr>
          <w:spacing w:val="-5"/>
          <w:sz w:val="28"/>
        </w:rPr>
        <w:t> </w:t>
      </w:r>
      <w:r>
        <w:rPr>
          <w:sz w:val="28"/>
        </w:rPr>
        <w:t>Assistant</w:t>
      </w:r>
      <w:r>
        <w:rPr>
          <w:spacing w:val="-3"/>
          <w:sz w:val="28"/>
        </w:rPr>
        <w:t> </w:t>
      </w:r>
      <w:r>
        <w:rPr>
          <w:sz w:val="28"/>
        </w:rPr>
        <w:t>General</w:t>
      </w:r>
      <w:r>
        <w:rPr>
          <w:spacing w:val="-3"/>
          <w:sz w:val="28"/>
        </w:rPr>
        <w:t> </w:t>
      </w:r>
      <w:r>
        <w:rPr>
          <w:sz w:val="28"/>
        </w:rPr>
        <w:t>Practice</w:t>
      </w:r>
      <w:r>
        <w:rPr>
          <w:spacing w:val="-3"/>
          <w:sz w:val="28"/>
        </w:rPr>
        <w:t> </w:t>
      </w:r>
      <w:r>
        <w:rPr>
          <w:sz w:val="28"/>
        </w:rPr>
        <w:t>Director</w:t>
      </w:r>
    </w:p>
    <w:p>
      <w:pPr>
        <w:spacing w:before="163"/>
        <w:ind w:left="100" w:right="0" w:firstLine="0"/>
        <w:jc w:val="left"/>
        <w:rPr>
          <w:sz w:val="28"/>
        </w:rPr>
      </w:pPr>
      <w:r>
        <w:rPr>
          <w:sz w:val="28"/>
        </w:rPr>
        <w:t>At</w:t>
      </w:r>
      <w:r>
        <w:rPr>
          <w:spacing w:val="67"/>
          <w:sz w:val="28"/>
        </w:rPr>
        <w:t> </w:t>
      </w:r>
      <w:r>
        <w:rPr>
          <w:sz w:val="28"/>
        </w:rPr>
        <w:t>Cariology</w:t>
      </w:r>
      <w:r>
        <w:rPr>
          <w:spacing w:val="-2"/>
          <w:sz w:val="28"/>
        </w:rPr>
        <w:t> </w:t>
      </w:r>
      <w:r>
        <w:rPr>
          <w:sz w:val="28"/>
        </w:rPr>
        <w:t>&amp;</w:t>
      </w:r>
      <w:r>
        <w:rPr>
          <w:spacing w:val="-1"/>
          <w:sz w:val="28"/>
        </w:rPr>
        <w:t> </w:t>
      </w:r>
      <w:r>
        <w:rPr>
          <w:sz w:val="28"/>
        </w:rPr>
        <w:t>Comprehensive</w:t>
      </w:r>
      <w:r>
        <w:rPr>
          <w:spacing w:val="-2"/>
          <w:sz w:val="28"/>
        </w:rPr>
        <w:t> </w:t>
      </w:r>
      <w:r>
        <w:rPr>
          <w:sz w:val="28"/>
        </w:rPr>
        <w:t>Care</w:t>
      </w:r>
      <w:r>
        <w:rPr>
          <w:spacing w:val="1"/>
          <w:sz w:val="28"/>
        </w:rPr>
        <w:t> </w:t>
      </w:r>
      <w:r>
        <w:rPr>
          <w:sz w:val="28"/>
        </w:rPr>
        <w:t>New</w:t>
      </w:r>
      <w:r>
        <w:rPr>
          <w:spacing w:val="-8"/>
          <w:sz w:val="28"/>
        </w:rPr>
        <w:t> </w:t>
      </w:r>
      <w:r>
        <w:rPr>
          <w:sz w:val="28"/>
        </w:rPr>
        <w:t>York</w:t>
      </w:r>
      <w:r>
        <w:rPr>
          <w:spacing w:val="-3"/>
          <w:sz w:val="28"/>
        </w:rPr>
        <w:t> </w:t>
      </w:r>
      <w:r>
        <w:rPr>
          <w:sz w:val="28"/>
        </w:rPr>
        <w:t>University</w:t>
      </w:r>
      <w:r>
        <w:rPr>
          <w:spacing w:val="-2"/>
          <w:sz w:val="28"/>
        </w:rPr>
        <w:t> </w:t>
      </w:r>
      <w:r>
        <w:rPr>
          <w:sz w:val="28"/>
        </w:rPr>
        <w:t>College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Dentistry.</w:t>
      </w:r>
    </w:p>
    <w:p>
      <w:pPr>
        <w:pStyle w:val="Heading2"/>
        <w:spacing w:before="158"/>
      </w:pPr>
      <w:hyperlink r:id="rId5">
        <w:r>
          <w:rPr/>
          <w:t>kp21@nyu.edu</w:t>
        </w:r>
      </w:hyperlink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10"/>
        <w:rPr>
          <w:b/>
          <w:sz w:val="29"/>
        </w:rPr>
      </w:pPr>
    </w:p>
    <w:p>
      <w:pPr>
        <w:spacing w:before="1"/>
        <w:ind w:left="100" w:right="0" w:firstLine="0"/>
        <w:jc w:val="left"/>
        <w:rPr>
          <w:b/>
          <w:sz w:val="28"/>
        </w:rPr>
      </w:pPr>
      <w:r>
        <w:rPr>
          <w:b/>
          <w:sz w:val="28"/>
        </w:rPr>
        <w:t>Abstract</w:t>
      </w:r>
    </w:p>
    <w:p>
      <w:pPr>
        <w:pStyle w:val="BodyText"/>
        <w:spacing w:before="9"/>
        <w:rPr>
          <w:b/>
          <w:sz w:val="37"/>
        </w:rPr>
      </w:pPr>
    </w:p>
    <w:p>
      <w:pPr>
        <w:pStyle w:val="BodyText"/>
        <w:spacing w:line="360" w:lineRule="auto"/>
        <w:ind w:left="100" w:right="1273"/>
        <w:jc w:val="both"/>
        <w:rPr>
          <w:rFonts w:ascii="Cambria" w:hAnsi="Cambria"/>
          <w:b/>
          <w:sz w:val="20"/>
        </w:rPr>
      </w:pPr>
      <w:r>
        <w:rPr/>
        <w:t>Tooth loss due to traumatic dental injury or congenital absence can cause functional and social-</w:t>
      </w:r>
      <w:r>
        <w:rPr>
          <w:spacing w:val="1"/>
        </w:rPr>
        <w:t> </w:t>
      </w:r>
      <w:r>
        <w:rPr/>
        <w:t>psychological consequences in youth. Pubescent children with missing teeth are often targets for</w:t>
      </w:r>
      <w:r>
        <w:rPr>
          <w:spacing w:val="1"/>
        </w:rPr>
        <w:t> </w:t>
      </w:r>
      <w:r>
        <w:rPr/>
        <w:t>school</w:t>
      </w:r>
      <w:r>
        <w:rPr>
          <w:spacing w:val="-14"/>
        </w:rPr>
        <w:t> </w:t>
      </w:r>
      <w:r>
        <w:rPr/>
        <w:t>bullying.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treatment</w:t>
      </w:r>
      <w:r>
        <w:rPr>
          <w:spacing w:val="-10"/>
        </w:rPr>
        <w:t> </w:t>
      </w:r>
      <w:r>
        <w:rPr/>
        <w:t>modality</w:t>
      </w:r>
      <w:r>
        <w:rPr>
          <w:spacing w:val="-8"/>
        </w:rPr>
        <w:t> </w:t>
      </w:r>
      <w:r>
        <w:rPr/>
        <w:t>chosen</w:t>
      </w:r>
      <w:r>
        <w:rPr>
          <w:spacing w:val="-8"/>
        </w:rPr>
        <w:t> </w:t>
      </w:r>
      <w:r>
        <w:rPr/>
        <w:t>can</w:t>
      </w:r>
      <w:r>
        <w:rPr>
          <w:spacing w:val="-8"/>
        </w:rPr>
        <w:t> </w:t>
      </w:r>
      <w:r>
        <w:rPr/>
        <w:t>impact</w:t>
      </w:r>
      <w:r>
        <w:rPr>
          <w:spacing w:val="-10"/>
        </w:rPr>
        <w:t> </w:t>
      </w:r>
      <w:r>
        <w:rPr/>
        <w:t>their</w:t>
      </w:r>
      <w:r>
        <w:rPr>
          <w:spacing w:val="-12"/>
        </w:rPr>
        <w:t> </w:t>
      </w:r>
      <w:r>
        <w:rPr/>
        <w:t>well-being</w:t>
      </w:r>
      <w:r>
        <w:rPr>
          <w:spacing w:val="-8"/>
        </w:rPr>
        <w:t> </w:t>
      </w:r>
      <w:r>
        <w:rPr/>
        <w:t>during</w:t>
      </w:r>
      <w:r>
        <w:rPr>
          <w:spacing w:val="-8"/>
        </w:rPr>
        <w:t> </w:t>
      </w:r>
      <w:r>
        <w:rPr/>
        <w:t>their</w:t>
      </w:r>
      <w:r>
        <w:rPr>
          <w:spacing w:val="-8"/>
        </w:rPr>
        <w:t> </w:t>
      </w:r>
      <w:r>
        <w:rPr/>
        <w:t>formative</w:t>
      </w:r>
      <w:r>
        <w:rPr>
          <w:spacing w:val="-58"/>
        </w:rPr>
        <w:t> </w:t>
      </w:r>
      <w:r>
        <w:rPr/>
        <w:t>years. Despite the high success rate in adult patients, implant placement in young patients is not</w:t>
      </w:r>
      <w:r>
        <w:rPr>
          <w:spacing w:val="1"/>
        </w:rPr>
        <w:t> </w:t>
      </w:r>
      <w:r>
        <w:rPr/>
        <w:t>common due to its ankylosed nature and concerns with possible infra-occlusion in the future.</w:t>
      </w:r>
      <w:r>
        <w:rPr>
          <w:spacing w:val="1"/>
        </w:rPr>
        <w:t> </w:t>
      </w:r>
      <w:r>
        <w:rPr/>
        <w:t>However, skeletal growth and remodeling is a continuous process throughout life and postpone-</w:t>
      </w:r>
      <w:r>
        <w:rPr>
          <w:spacing w:val="1"/>
        </w:rPr>
        <w:t> </w:t>
      </w:r>
      <w:r>
        <w:rPr/>
        <w:t>ment of dental implant placement does not necessary prevent future complication or need for re-</w:t>
      </w:r>
      <w:r>
        <w:rPr>
          <w:spacing w:val="1"/>
        </w:rPr>
        <w:t> </w:t>
      </w:r>
      <w:r>
        <w:rPr/>
        <w:t>placement. Dental implant placement should be considered as a viable treatment option for pu-</w:t>
      </w:r>
      <w:r>
        <w:rPr>
          <w:spacing w:val="1"/>
        </w:rPr>
        <w:t> </w:t>
      </w:r>
      <w:r>
        <w:rPr/>
        <w:t>bescent patients if all other conventional alternatives fail to alleviate patients’ concerns both</w:t>
      </w:r>
      <w:r>
        <w:rPr>
          <w:spacing w:val="1"/>
        </w:rPr>
        <w:t> </w:t>
      </w:r>
      <w:r>
        <w:rPr/>
        <w:t>functionally and psychologically. This case report evaluates the considerations required to place</w:t>
      </w:r>
      <w:r>
        <w:rPr>
          <w:spacing w:val="1"/>
        </w:rPr>
        <w:t> </w:t>
      </w:r>
      <w:r>
        <w:rPr/>
        <w:t>dental</w:t>
      </w:r>
      <w:r>
        <w:rPr>
          <w:spacing w:val="2"/>
        </w:rPr>
        <w:t> </w:t>
      </w:r>
      <w:r>
        <w:rPr/>
        <w:t>implants in pubescent</w:t>
      </w:r>
      <w:r>
        <w:rPr>
          <w:spacing w:val="-3"/>
        </w:rPr>
        <w:t> </w:t>
      </w:r>
      <w:r>
        <w:rPr/>
        <w:t>patients, as well</w:t>
      </w:r>
      <w:r>
        <w:rPr>
          <w:spacing w:val="-3"/>
        </w:rPr>
        <w:t> </w:t>
      </w:r>
      <w:r>
        <w:rPr/>
        <w:t>as</w:t>
      </w:r>
      <w:r>
        <w:rPr>
          <w:spacing w:val="1"/>
        </w:rPr>
        <w:t> </w:t>
      </w:r>
      <w:r>
        <w:rPr/>
        <w:t>its advantages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disadvantages</w:t>
      </w:r>
      <w:r>
        <w:rPr>
          <w:rFonts w:ascii="Cambria" w:hAnsi="Cambria"/>
          <w:b/>
          <w:sz w:val="20"/>
        </w:rPr>
        <w:t>.</w:t>
      </w:r>
    </w:p>
    <w:p>
      <w:pPr>
        <w:pStyle w:val="BodyText"/>
        <w:rPr>
          <w:rFonts w:ascii="Cambria"/>
          <w:b/>
          <w:sz w:val="26"/>
        </w:rPr>
      </w:pPr>
    </w:p>
    <w:p>
      <w:pPr>
        <w:pStyle w:val="BodyText"/>
        <w:rPr>
          <w:rFonts w:ascii="Cambria"/>
          <w:b/>
          <w:sz w:val="26"/>
        </w:rPr>
      </w:pPr>
    </w:p>
    <w:p>
      <w:pPr>
        <w:pStyle w:val="BodyText"/>
        <w:rPr>
          <w:rFonts w:ascii="Cambria"/>
          <w:b/>
          <w:sz w:val="26"/>
        </w:rPr>
      </w:pPr>
    </w:p>
    <w:p>
      <w:pPr>
        <w:pStyle w:val="BodyText"/>
        <w:rPr>
          <w:rFonts w:ascii="Cambria"/>
          <w:b/>
          <w:sz w:val="26"/>
        </w:rPr>
      </w:pPr>
    </w:p>
    <w:p>
      <w:pPr>
        <w:pStyle w:val="BodyText"/>
        <w:rPr>
          <w:rFonts w:ascii="Cambria"/>
          <w:b/>
          <w:sz w:val="26"/>
        </w:rPr>
      </w:pPr>
    </w:p>
    <w:p>
      <w:pPr>
        <w:pStyle w:val="BodyText"/>
        <w:spacing w:before="5"/>
        <w:rPr>
          <w:rFonts w:ascii="Cambria"/>
          <w:b/>
          <w:sz w:val="36"/>
        </w:rPr>
      </w:pPr>
    </w:p>
    <w:p>
      <w:pPr>
        <w:spacing w:before="0"/>
        <w:ind w:left="1781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1356613</wp:posOffset>
            </wp:positionH>
            <wp:positionV relativeFrom="paragraph">
              <wp:posOffset>-493422</wp:posOffset>
            </wp:positionV>
            <wp:extent cx="627913" cy="621538"/>
            <wp:effectExtent l="0" t="0" r="0" b="0"/>
            <wp:wrapNone/>
            <wp:docPr id="1" name="image1.jpeg" descr="dumm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13" cy="621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16.099976pt;margin-top:-35.762127pt;width:82.2pt;height:47.4pt;mso-position-horizontal-relative:page;mso-position-vertical-relative:paragraph;z-index:15729152" coordorigin="10322,-715" coordsize="1644,948">
            <v:shape style="position:absolute;left:10347;top:-691;width:1594;height:898" coordorigin="10347,-690" coordsize="1594,898" path="m10347,-541l10359,-599,10391,-646,10438,-678,10497,-690,11791,-690,11850,-678,11897,-646,11929,-599,11941,-541,11941,58,11929,116,11897,164,11850,196,11791,208,10497,208,10438,196,10391,164,10359,116,10347,58,10347,-541xe" filled="false" stroked="true" strokeweight="2.5pt" strokecolor="#9bba58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322;top:-716;width:1644;height:948" type="#_x0000_t202" filled="false" stroked="false">
              <v:textbox inset="0,0,0,0">
                <w:txbxContent>
                  <w:p>
                    <w:pPr>
                      <w:spacing w:line="254" w:lineRule="auto" w:before="172"/>
                      <w:ind w:left="242" w:right="413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0000FF"/>
                        <w:sz w:val="22"/>
                      </w:rPr>
                      <w:t>Paste your</w:t>
                    </w:r>
                    <w:r>
                      <w:rPr>
                        <w:rFonts w:ascii="Calibri"/>
                        <w:b/>
                        <w:color w:val="0000FF"/>
                        <w:spacing w:val="-47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0000FF"/>
                        <w:sz w:val="22"/>
                      </w:rPr>
                      <w:t>Logo</w:t>
                    </w:r>
                    <w:r>
                      <w:rPr>
                        <w:rFonts w:ascii="Calibri"/>
                        <w:b/>
                        <w:color w:val="0000FF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0000FF"/>
                        <w:sz w:val="22"/>
                      </w:rPr>
                      <w:t>here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 MT"/>
          <w:color w:val="BE5A13"/>
          <w:sz w:val="22"/>
        </w:rPr>
        <w:t>Biography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8"/>
        <w:rPr>
          <w:rFonts w:ascii="Arial MT"/>
          <w:sz w:val="26"/>
        </w:rPr>
      </w:pPr>
    </w:p>
    <w:p>
      <w:pPr>
        <w:spacing w:line="240" w:lineRule="auto" w:before="1"/>
        <w:ind w:left="100" w:right="1302" w:firstLine="0"/>
        <w:jc w:val="left"/>
        <w:rPr>
          <w:rFonts w:ascii="Arial MT"/>
          <w:sz w:val="23"/>
        </w:rPr>
      </w:pPr>
      <w:r>
        <w:rPr>
          <w:rFonts w:ascii="Arial MT"/>
          <w:color w:val="2C3D50"/>
          <w:sz w:val="23"/>
        </w:rPr>
        <w:t>Dr. Paranhos graduated from Universidade de Odontologia Joao Prudente in Brazil.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She</w:t>
      </w:r>
      <w:r>
        <w:rPr>
          <w:rFonts w:ascii="Arial MT"/>
          <w:color w:val="2C3D50"/>
          <w:spacing w:val="-61"/>
          <w:sz w:val="23"/>
        </w:rPr>
        <w:t> </w:t>
      </w:r>
      <w:r>
        <w:rPr>
          <w:rFonts w:ascii="Arial MT"/>
          <w:color w:val="2C3D50"/>
          <w:sz w:val="23"/>
        </w:rPr>
        <w:t>then continued her education in the United states at NYUCD Ashman Department of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Periodontology and Implant dentistry with a Post-Grad degree and Fellowship in Implant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Dentistry, followed by an International Post-Graduate Program in Periodontics.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She also</w:t>
      </w:r>
      <w:r>
        <w:rPr>
          <w:rFonts w:ascii="Arial MT"/>
          <w:color w:val="2C3D50"/>
          <w:spacing w:val="-61"/>
          <w:sz w:val="23"/>
        </w:rPr>
        <w:t> </w:t>
      </w:r>
      <w:r>
        <w:rPr>
          <w:rFonts w:ascii="Arial MT"/>
          <w:color w:val="2C3D50"/>
          <w:sz w:val="23"/>
        </w:rPr>
        <w:t>completed an AEGD program at the University of Rochester Eastman Institute of Oral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Health</w:t>
      </w:r>
      <w:r>
        <w:rPr>
          <w:rFonts w:ascii="Arial MT"/>
          <w:color w:val="2C3D50"/>
          <w:spacing w:val="-5"/>
          <w:sz w:val="23"/>
        </w:rPr>
        <w:t> </w:t>
      </w:r>
      <w:r>
        <w:rPr>
          <w:rFonts w:ascii="Arial MT"/>
          <w:color w:val="2C3D50"/>
          <w:sz w:val="23"/>
        </w:rPr>
        <w:t>and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accredited</w:t>
      </w:r>
      <w:r>
        <w:rPr>
          <w:rFonts w:ascii="Arial MT"/>
          <w:color w:val="2C3D50"/>
          <w:spacing w:val="-4"/>
          <w:sz w:val="23"/>
        </w:rPr>
        <w:t> </w:t>
      </w:r>
      <w:r>
        <w:rPr>
          <w:rFonts w:ascii="Arial MT"/>
          <w:color w:val="2C3D50"/>
          <w:sz w:val="23"/>
        </w:rPr>
        <w:t>DDS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degree as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well</w:t>
      </w:r>
      <w:r>
        <w:rPr>
          <w:rFonts w:ascii="Arial MT"/>
          <w:color w:val="2C3D50"/>
          <w:spacing w:val="-2"/>
          <w:sz w:val="23"/>
        </w:rPr>
        <w:t> </w:t>
      </w:r>
      <w:r>
        <w:rPr>
          <w:rFonts w:ascii="Arial MT"/>
          <w:color w:val="2C3D50"/>
          <w:sz w:val="23"/>
        </w:rPr>
        <w:t>as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a</w:t>
      </w:r>
      <w:r>
        <w:rPr>
          <w:rFonts w:ascii="Arial MT"/>
          <w:color w:val="2C3D50"/>
          <w:spacing w:val="-5"/>
          <w:sz w:val="23"/>
        </w:rPr>
        <w:t> </w:t>
      </w:r>
      <w:r>
        <w:rPr>
          <w:rFonts w:ascii="Arial MT"/>
          <w:color w:val="2C3D50"/>
          <w:sz w:val="23"/>
        </w:rPr>
        <w:t>Masters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degree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in</w:t>
      </w:r>
      <w:r>
        <w:rPr>
          <w:rFonts w:ascii="Arial MT"/>
          <w:color w:val="2C3D50"/>
          <w:spacing w:val="1"/>
          <w:sz w:val="23"/>
        </w:rPr>
        <w:t> </w:t>
      </w:r>
      <w:r>
        <w:rPr>
          <w:rFonts w:ascii="Arial MT"/>
          <w:color w:val="2C3D50"/>
          <w:sz w:val="23"/>
        </w:rPr>
        <w:t>Dental</w:t>
      </w:r>
      <w:r>
        <w:rPr>
          <w:rFonts w:ascii="Arial MT"/>
          <w:color w:val="2C3D50"/>
          <w:spacing w:val="-3"/>
          <w:sz w:val="23"/>
        </w:rPr>
        <w:t> </w:t>
      </w:r>
      <w:r>
        <w:rPr>
          <w:rFonts w:ascii="Arial MT"/>
          <w:color w:val="2C3D50"/>
          <w:sz w:val="23"/>
        </w:rPr>
        <w:t>Science.</w:t>
      </w:r>
    </w:p>
    <w:p>
      <w:pPr>
        <w:spacing w:after="0" w:line="240" w:lineRule="auto"/>
        <w:jc w:val="left"/>
        <w:rPr>
          <w:rFonts w:ascii="Arial MT"/>
          <w:sz w:val="23"/>
        </w:rPr>
        <w:sectPr>
          <w:pgSz w:w="12240" w:h="15840"/>
          <w:pgMar w:top="1380" w:bottom="280" w:left="1340" w:right="160"/>
        </w:sectPr>
      </w:pPr>
    </w:p>
    <w:p>
      <w:pPr>
        <w:spacing w:before="80"/>
        <w:ind w:left="100" w:right="1356" w:firstLine="0"/>
        <w:jc w:val="both"/>
        <w:rPr>
          <w:rFonts w:ascii="Arial MT"/>
          <w:sz w:val="23"/>
        </w:rPr>
      </w:pPr>
      <w:r>
        <w:rPr>
          <w:rFonts w:ascii="Arial MT"/>
          <w:color w:val="2C3D50"/>
          <w:sz w:val="23"/>
        </w:rPr>
        <w:t>Dr.</w:t>
      </w:r>
      <w:r>
        <w:rPr>
          <w:rFonts w:ascii="Arial MT"/>
          <w:color w:val="2C3D50"/>
          <w:spacing w:val="-4"/>
          <w:sz w:val="23"/>
        </w:rPr>
        <w:t> </w:t>
      </w:r>
      <w:r>
        <w:rPr>
          <w:rFonts w:ascii="Arial MT"/>
          <w:color w:val="2C3D50"/>
          <w:sz w:val="23"/>
        </w:rPr>
        <w:t>Paranhos</w:t>
      </w:r>
      <w:r>
        <w:rPr>
          <w:rFonts w:ascii="Arial MT"/>
          <w:color w:val="2C3D50"/>
          <w:spacing w:val="-4"/>
          <w:sz w:val="23"/>
        </w:rPr>
        <w:t> </w:t>
      </w:r>
      <w:r>
        <w:rPr>
          <w:rFonts w:ascii="Arial MT"/>
          <w:color w:val="2C3D50"/>
          <w:sz w:val="23"/>
        </w:rPr>
        <w:t>is</w:t>
      </w:r>
      <w:r>
        <w:rPr>
          <w:rFonts w:ascii="Arial MT"/>
          <w:color w:val="2C3D50"/>
          <w:spacing w:val="-7"/>
          <w:sz w:val="23"/>
        </w:rPr>
        <w:t> </w:t>
      </w:r>
      <w:r>
        <w:rPr>
          <w:rFonts w:ascii="Arial MT"/>
          <w:color w:val="2C3D50"/>
          <w:sz w:val="23"/>
        </w:rPr>
        <w:t>an</w:t>
      </w:r>
      <w:r>
        <w:rPr>
          <w:rFonts w:ascii="Arial MT"/>
          <w:color w:val="2C3D50"/>
          <w:spacing w:val="-7"/>
          <w:sz w:val="23"/>
        </w:rPr>
        <w:t> </w:t>
      </w:r>
      <w:r>
        <w:rPr>
          <w:rFonts w:ascii="Arial MT"/>
          <w:color w:val="2C3D50"/>
          <w:sz w:val="23"/>
        </w:rPr>
        <w:t>Assistant</w:t>
      </w:r>
      <w:r>
        <w:rPr>
          <w:rFonts w:ascii="Arial MT"/>
          <w:color w:val="2C3D50"/>
          <w:spacing w:val="-3"/>
          <w:sz w:val="23"/>
        </w:rPr>
        <w:t> </w:t>
      </w:r>
      <w:r>
        <w:rPr>
          <w:rFonts w:ascii="Arial MT"/>
          <w:color w:val="2C3D50"/>
          <w:sz w:val="23"/>
        </w:rPr>
        <w:t>General</w:t>
      </w:r>
      <w:r>
        <w:rPr>
          <w:rFonts w:ascii="Arial MT"/>
          <w:color w:val="2C3D50"/>
          <w:spacing w:val="-10"/>
          <w:sz w:val="23"/>
        </w:rPr>
        <w:t> </w:t>
      </w:r>
      <w:r>
        <w:rPr>
          <w:rFonts w:ascii="Arial MT"/>
          <w:color w:val="2C3D50"/>
          <w:sz w:val="23"/>
        </w:rPr>
        <w:t>Practice</w:t>
      </w:r>
      <w:r>
        <w:rPr>
          <w:rFonts w:ascii="Arial MT"/>
          <w:color w:val="2C3D50"/>
          <w:spacing w:val="-2"/>
          <w:sz w:val="23"/>
        </w:rPr>
        <w:t> </w:t>
      </w:r>
      <w:r>
        <w:rPr>
          <w:rFonts w:ascii="Arial MT"/>
          <w:color w:val="2C3D50"/>
          <w:sz w:val="23"/>
        </w:rPr>
        <w:t>Director</w:t>
      </w:r>
      <w:r>
        <w:rPr>
          <w:rFonts w:ascii="Arial MT"/>
          <w:color w:val="2C3D50"/>
          <w:spacing w:val="-5"/>
          <w:sz w:val="23"/>
        </w:rPr>
        <w:t> </w:t>
      </w:r>
      <w:r>
        <w:rPr>
          <w:rFonts w:ascii="Arial MT"/>
          <w:color w:val="2C3D50"/>
          <w:sz w:val="23"/>
        </w:rPr>
        <w:t>at</w:t>
      </w:r>
      <w:r>
        <w:rPr>
          <w:rFonts w:ascii="Arial MT"/>
          <w:color w:val="2C3D50"/>
          <w:spacing w:val="-3"/>
          <w:sz w:val="23"/>
        </w:rPr>
        <w:t> </w:t>
      </w:r>
      <w:r>
        <w:rPr>
          <w:rFonts w:ascii="Arial MT"/>
          <w:color w:val="2C3D50"/>
          <w:sz w:val="23"/>
        </w:rPr>
        <w:t>Cariology</w:t>
      </w:r>
      <w:r>
        <w:rPr>
          <w:rFonts w:ascii="Arial MT"/>
          <w:color w:val="2C3D50"/>
          <w:spacing w:val="-4"/>
          <w:sz w:val="23"/>
        </w:rPr>
        <w:t> </w:t>
      </w:r>
      <w:r>
        <w:rPr>
          <w:rFonts w:ascii="Arial MT"/>
          <w:color w:val="2C3D50"/>
          <w:sz w:val="23"/>
        </w:rPr>
        <w:t>&amp;</w:t>
      </w:r>
      <w:r>
        <w:rPr>
          <w:rFonts w:ascii="Arial MT"/>
          <w:color w:val="2C3D50"/>
          <w:spacing w:val="-2"/>
          <w:sz w:val="23"/>
        </w:rPr>
        <w:t> </w:t>
      </w:r>
      <w:r>
        <w:rPr>
          <w:rFonts w:ascii="Arial MT"/>
          <w:color w:val="2C3D50"/>
          <w:sz w:val="23"/>
        </w:rPr>
        <w:t>Comprehensive</w:t>
      </w:r>
      <w:r>
        <w:rPr>
          <w:rFonts w:ascii="Arial MT"/>
          <w:color w:val="2C3D50"/>
          <w:spacing w:val="-2"/>
          <w:sz w:val="23"/>
        </w:rPr>
        <w:t> </w:t>
      </w:r>
      <w:r>
        <w:rPr>
          <w:rFonts w:ascii="Arial MT"/>
          <w:color w:val="2C3D50"/>
          <w:sz w:val="23"/>
        </w:rPr>
        <w:t>Care</w:t>
      </w:r>
      <w:r>
        <w:rPr>
          <w:rFonts w:ascii="Arial MT"/>
          <w:color w:val="2C3D50"/>
          <w:spacing w:val="-61"/>
          <w:sz w:val="23"/>
        </w:rPr>
        <w:t> </w:t>
      </w:r>
      <w:r>
        <w:rPr>
          <w:rFonts w:ascii="Arial MT"/>
          <w:color w:val="2C3D50"/>
          <w:sz w:val="23"/>
        </w:rPr>
        <w:t>Department at New bYork University College of Dentistry and as well as has been teaching</w:t>
      </w:r>
      <w:r>
        <w:rPr>
          <w:rFonts w:ascii="Arial MT"/>
          <w:color w:val="2C3D50"/>
          <w:spacing w:val="-61"/>
          <w:sz w:val="23"/>
        </w:rPr>
        <w:t> </w:t>
      </w:r>
      <w:r>
        <w:rPr>
          <w:rFonts w:ascii="Arial MT"/>
          <w:color w:val="2C3D50"/>
          <w:sz w:val="23"/>
        </w:rPr>
        <w:t>at the</w:t>
      </w:r>
      <w:r>
        <w:rPr>
          <w:rFonts w:ascii="Arial MT"/>
          <w:color w:val="2C3D50"/>
          <w:spacing w:val="2"/>
          <w:sz w:val="23"/>
        </w:rPr>
        <w:t> </w:t>
      </w:r>
      <w:r>
        <w:rPr>
          <w:rFonts w:ascii="Arial MT"/>
          <w:color w:val="2C3D50"/>
          <w:sz w:val="23"/>
        </w:rPr>
        <w:t>NYU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Implant</w:t>
      </w:r>
      <w:r>
        <w:rPr>
          <w:rFonts w:ascii="Arial MT"/>
          <w:color w:val="2C3D50"/>
          <w:spacing w:val="-3"/>
          <w:sz w:val="23"/>
        </w:rPr>
        <w:t> </w:t>
      </w:r>
      <w:r>
        <w:rPr>
          <w:rFonts w:ascii="Arial MT"/>
          <w:color w:val="2C3D50"/>
          <w:sz w:val="23"/>
        </w:rPr>
        <w:t>Department.</w:t>
      </w:r>
    </w:p>
    <w:p>
      <w:pPr>
        <w:spacing w:before="157"/>
        <w:ind w:left="100" w:right="2149" w:firstLine="0"/>
        <w:jc w:val="left"/>
        <w:rPr>
          <w:rFonts w:ascii="Arial MT"/>
          <w:sz w:val="23"/>
        </w:rPr>
      </w:pPr>
      <w:r>
        <w:rPr>
          <w:rFonts w:ascii="Arial MT"/>
          <w:color w:val="2C3D50"/>
          <w:sz w:val="23"/>
        </w:rPr>
        <w:t>Dr.</w:t>
      </w:r>
      <w:r>
        <w:rPr>
          <w:rFonts w:ascii="Arial MT"/>
          <w:color w:val="2C3D50"/>
          <w:spacing w:val="-2"/>
          <w:sz w:val="23"/>
        </w:rPr>
        <w:t> </w:t>
      </w:r>
      <w:r>
        <w:rPr>
          <w:rFonts w:ascii="Arial MT"/>
          <w:color w:val="2C3D50"/>
          <w:sz w:val="23"/>
        </w:rPr>
        <w:t>Paranhos</w:t>
      </w:r>
      <w:r>
        <w:rPr>
          <w:rFonts w:ascii="Arial MT"/>
          <w:color w:val="2C3D50"/>
          <w:spacing w:val="-3"/>
          <w:sz w:val="23"/>
        </w:rPr>
        <w:t> </w:t>
      </w:r>
      <w:r>
        <w:rPr>
          <w:rFonts w:ascii="Arial MT"/>
          <w:color w:val="2C3D50"/>
          <w:sz w:val="23"/>
        </w:rPr>
        <w:t>is</w:t>
      </w:r>
      <w:r>
        <w:rPr>
          <w:rFonts w:ascii="Arial MT"/>
          <w:color w:val="2C3D50"/>
          <w:spacing w:val="-3"/>
          <w:sz w:val="23"/>
        </w:rPr>
        <w:t> </w:t>
      </w:r>
      <w:r>
        <w:rPr>
          <w:rFonts w:ascii="Arial MT"/>
          <w:color w:val="2C3D50"/>
          <w:sz w:val="23"/>
        </w:rPr>
        <w:t>in</w:t>
      </w:r>
      <w:r>
        <w:rPr>
          <w:rFonts w:ascii="Arial MT"/>
          <w:color w:val="2C3D50"/>
          <w:spacing w:val="-6"/>
          <w:sz w:val="23"/>
        </w:rPr>
        <w:t> </w:t>
      </w:r>
      <w:r>
        <w:rPr>
          <w:rFonts w:ascii="Arial MT"/>
          <w:color w:val="2C3D50"/>
          <w:sz w:val="23"/>
        </w:rPr>
        <w:t>part-time</w:t>
      </w:r>
      <w:r>
        <w:rPr>
          <w:rFonts w:ascii="Arial MT"/>
          <w:color w:val="2C3D50"/>
          <w:spacing w:val="-5"/>
          <w:sz w:val="23"/>
        </w:rPr>
        <w:t> </w:t>
      </w:r>
      <w:r>
        <w:rPr>
          <w:rFonts w:ascii="Arial MT"/>
          <w:color w:val="2C3D50"/>
          <w:sz w:val="23"/>
        </w:rPr>
        <w:t>private</w:t>
      </w:r>
      <w:r>
        <w:rPr>
          <w:rFonts w:ascii="Arial MT"/>
          <w:color w:val="2C3D50"/>
          <w:spacing w:val="-6"/>
          <w:sz w:val="23"/>
        </w:rPr>
        <w:t> </w:t>
      </w:r>
      <w:r>
        <w:rPr>
          <w:rFonts w:ascii="Arial MT"/>
          <w:color w:val="2C3D50"/>
          <w:sz w:val="23"/>
        </w:rPr>
        <w:t>practice</w:t>
      </w:r>
      <w:r>
        <w:rPr>
          <w:rFonts w:ascii="Arial MT"/>
          <w:color w:val="2C3D50"/>
          <w:spacing w:val="-6"/>
          <w:sz w:val="23"/>
        </w:rPr>
        <w:t> </w:t>
      </w:r>
      <w:r>
        <w:rPr>
          <w:rFonts w:ascii="Arial MT"/>
          <w:color w:val="2C3D50"/>
          <w:sz w:val="23"/>
        </w:rPr>
        <w:t>in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Manhattan,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NY</w:t>
      </w:r>
      <w:r>
        <w:rPr>
          <w:rFonts w:ascii="Arial MT"/>
          <w:color w:val="2C3D50"/>
          <w:spacing w:val="-6"/>
          <w:sz w:val="23"/>
        </w:rPr>
        <w:t> </w:t>
      </w:r>
      <w:r>
        <w:rPr>
          <w:rFonts w:ascii="Arial MT"/>
          <w:color w:val="2C3D50"/>
          <w:sz w:val="23"/>
        </w:rPr>
        <w:t>and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can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be</w:t>
      </w:r>
      <w:r>
        <w:rPr>
          <w:rFonts w:ascii="Arial MT"/>
          <w:color w:val="2C3D50"/>
          <w:spacing w:val="-1"/>
          <w:sz w:val="23"/>
        </w:rPr>
        <w:t> </w:t>
      </w:r>
      <w:r>
        <w:rPr>
          <w:rFonts w:ascii="Arial MT"/>
          <w:color w:val="2C3D50"/>
          <w:sz w:val="23"/>
        </w:rPr>
        <w:t>reached</w:t>
      </w:r>
      <w:r>
        <w:rPr>
          <w:rFonts w:ascii="Arial MT"/>
          <w:color w:val="2C3D50"/>
          <w:spacing w:val="-61"/>
          <w:sz w:val="23"/>
        </w:rPr>
        <w:t> </w:t>
      </w:r>
      <w:r>
        <w:rPr>
          <w:rFonts w:ascii="Arial MT"/>
          <w:color w:val="2C3D50"/>
          <w:sz w:val="23"/>
        </w:rPr>
        <w:t>at</w:t>
      </w:r>
      <w:r>
        <w:rPr>
          <w:rFonts w:ascii="Arial MT"/>
          <w:color w:val="2C3D50"/>
          <w:spacing w:val="1"/>
          <w:sz w:val="23"/>
        </w:rPr>
        <w:t> </w:t>
      </w:r>
      <w:hyperlink r:id="rId5">
        <w:r>
          <w:rPr>
            <w:rFonts w:ascii="Arial MT"/>
            <w:color w:val="1154CC"/>
            <w:sz w:val="23"/>
            <w:u w:val="single" w:color="1154CC"/>
          </w:rPr>
          <w:t>kp21@nyu.edu</w:t>
        </w:r>
      </w:hyperlink>
      <w:r>
        <w:rPr>
          <w:rFonts w:ascii="Arial MT"/>
          <w:color w:val="2C3D50"/>
          <w:sz w:val="23"/>
        </w:rPr>
        <w:t>.</w:t>
      </w:r>
    </w:p>
    <w:sectPr>
      <w:pgSz w:w="12240" w:h="15840"/>
      <w:pgMar w:top="1360" w:bottom="280" w:left="134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1" w:hanging="360"/>
      </w:pPr>
      <w:rPr>
        <w:rFonts w:hint="default" w:ascii="Symbol" w:hAnsi="Symbol" w:eastAsia="Symbol" w:cs="Symbol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9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8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 w:right="1679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1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p21@nyu.edu" TargetMode="Externa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2023-02-20T11:48:51Z</dcterms:created>
  <dcterms:modified xsi:type="dcterms:W3CDTF">2023-02-20T11:48:51Z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2023-02-20T00:00:00Z</vt:filetime>
  </property>
</Properties>
</file>