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BF1" w:rsidRPr="000B496F" w:rsidRDefault="00D57BF1" w:rsidP="000B496F">
      <w:pPr>
        <w:pStyle w:val="HTMLPreformatted"/>
        <w:shd w:val="clear" w:color="auto" w:fill="FFFFFF" w:themeFill="background1"/>
        <w:spacing w:line="489" w:lineRule="atLeast"/>
        <w:rPr>
          <w:rFonts w:ascii="Minion Pro" w:eastAsia="Minion Pro" w:hAnsi="Minion Pro" w:cs="Minion Pro"/>
          <w:b/>
          <w:bCs/>
          <w:color w:val="337AB7"/>
          <w:sz w:val="36"/>
          <w:szCs w:val="36"/>
        </w:rPr>
      </w:pPr>
      <w:r w:rsidRPr="000B496F">
        <w:rPr>
          <w:rFonts w:ascii="Minion Pro" w:eastAsia="Minion Pro" w:hAnsi="Minion Pro" w:cs="Minion Pro" w:hint="cs"/>
          <w:b/>
          <w:bCs/>
          <w:color w:val="337AB7"/>
          <w:sz w:val="36"/>
          <w:szCs w:val="36"/>
        </w:rPr>
        <w:t xml:space="preserve">Evaluation of the </w:t>
      </w:r>
      <w:r w:rsidRPr="000B496F">
        <w:rPr>
          <w:rFonts w:ascii="Minion Pro" w:eastAsia="Minion Pro" w:hAnsi="Minion Pro" w:cs="Minion Pro"/>
          <w:b/>
          <w:bCs/>
          <w:color w:val="337AB7"/>
          <w:sz w:val="36"/>
          <w:szCs w:val="36"/>
        </w:rPr>
        <w:t>Ef</w:t>
      </w:r>
      <w:r w:rsidRPr="000B496F">
        <w:rPr>
          <w:rFonts w:ascii="Minion Pro" w:eastAsia="Minion Pro" w:hAnsi="Minion Pro" w:cs="Minion Pro" w:hint="cs"/>
          <w:b/>
          <w:bCs/>
          <w:color w:val="337AB7"/>
          <w:sz w:val="36"/>
          <w:szCs w:val="36"/>
        </w:rPr>
        <w:t xml:space="preserve">ficacy of </w:t>
      </w:r>
      <w:r w:rsidRPr="000B496F">
        <w:rPr>
          <w:rFonts w:ascii="Minion Pro" w:eastAsia="Minion Pro" w:hAnsi="Minion Pro" w:cs="Minion Pro"/>
          <w:b/>
          <w:bCs/>
          <w:color w:val="337AB7"/>
          <w:sz w:val="36"/>
          <w:szCs w:val="36"/>
        </w:rPr>
        <w:t>Injection P</w:t>
      </w:r>
      <w:r w:rsidRPr="000B496F">
        <w:rPr>
          <w:rFonts w:ascii="Minion Pro" w:eastAsia="Minion Pro" w:hAnsi="Minion Pro" w:cs="Minion Pro" w:hint="cs"/>
          <w:b/>
          <w:bCs/>
          <w:color w:val="337AB7"/>
          <w:sz w:val="36"/>
          <w:szCs w:val="36"/>
        </w:rPr>
        <w:t xml:space="preserve">latelet-rich </w:t>
      </w:r>
      <w:proofErr w:type="gramStart"/>
      <w:r w:rsidRPr="000B496F">
        <w:rPr>
          <w:rFonts w:ascii="Minion Pro" w:eastAsia="Minion Pro" w:hAnsi="Minion Pro" w:cs="Minion Pro" w:hint="cs"/>
          <w:b/>
          <w:bCs/>
          <w:color w:val="337AB7"/>
          <w:sz w:val="36"/>
          <w:szCs w:val="36"/>
        </w:rPr>
        <w:t>fibrin</w:t>
      </w:r>
      <w:r w:rsidRPr="000B496F">
        <w:rPr>
          <w:rFonts w:ascii="Minion Pro" w:eastAsia="Minion Pro" w:hAnsi="Minion Pro" w:cs="Minion Pro"/>
          <w:b/>
          <w:bCs/>
          <w:color w:val="337AB7"/>
          <w:sz w:val="36"/>
          <w:szCs w:val="36"/>
        </w:rPr>
        <w:t>(</w:t>
      </w:r>
      <w:proofErr w:type="gramEnd"/>
      <w:r w:rsidRPr="000B496F">
        <w:rPr>
          <w:rFonts w:ascii="Minion Pro" w:eastAsia="Minion Pro" w:hAnsi="Minion Pro" w:cs="Minion Pro"/>
          <w:b/>
          <w:bCs/>
          <w:color w:val="337AB7"/>
          <w:sz w:val="36"/>
          <w:szCs w:val="36"/>
        </w:rPr>
        <w:t>I-PRF)</w:t>
      </w:r>
      <w:r w:rsidRPr="000B496F">
        <w:rPr>
          <w:rFonts w:ascii="Minion Pro" w:eastAsia="Minion Pro" w:hAnsi="Minion Pro" w:cs="Minion Pro" w:hint="cs"/>
          <w:b/>
          <w:bCs/>
          <w:color w:val="337AB7"/>
          <w:sz w:val="36"/>
          <w:szCs w:val="36"/>
        </w:rPr>
        <w:t xml:space="preserve"> in </w:t>
      </w:r>
      <w:r w:rsidRPr="000B496F">
        <w:rPr>
          <w:rFonts w:ascii="Minion Pro" w:eastAsia="Minion Pro" w:hAnsi="Minion Pro" w:cs="Minion Pro"/>
          <w:b/>
          <w:bCs/>
          <w:color w:val="337AB7"/>
          <w:sz w:val="36"/>
          <w:szCs w:val="36"/>
        </w:rPr>
        <w:t>A</w:t>
      </w:r>
      <w:r w:rsidRPr="000B496F">
        <w:rPr>
          <w:rFonts w:ascii="Minion Pro" w:eastAsia="Minion Pro" w:hAnsi="Minion Pro" w:cs="Minion Pro" w:hint="cs"/>
          <w:b/>
          <w:bCs/>
          <w:color w:val="337AB7"/>
          <w:sz w:val="36"/>
          <w:szCs w:val="36"/>
        </w:rPr>
        <w:t xml:space="preserve">ccelerate </w:t>
      </w:r>
      <w:r w:rsidRPr="000B496F">
        <w:rPr>
          <w:rFonts w:ascii="Minion Pro" w:eastAsia="Minion Pro" w:hAnsi="Minion Pro" w:cs="Minion Pro"/>
          <w:b/>
          <w:bCs/>
          <w:color w:val="337AB7"/>
          <w:sz w:val="36"/>
          <w:szCs w:val="36"/>
        </w:rPr>
        <w:t>A</w:t>
      </w:r>
      <w:r w:rsidRPr="000B496F">
        <w:rPr>
          <w:rFonts w:ascii="Minion Pro" w:eastAsia="Minion Pro" w:hAnsi="Minion Pro" w:cs="Minion Pro" w:hint="cs"/>
          <w:b/>
          <w:bCs/>
          <w:color w:val="337AB7"/>
          <w:sz w:val="36"/>
          <w:szCs w:val="36"/>
        </w:rPr>
        <w:t xml:space="preserve">lignment and </w:t>
      </w:r>
      <w:r w:rsidRPr="000B496F">
        <w:rPr>
          <w:rFonts w:ascii="Minion Pro" w:eastAsia="Minion Pro" w:hAnsi="Minion Pro" w:cs="Minion Pro"/>
          <w:b/>
          <w:bCs/>
          <w:color w:val="337AB7"/>
          <w:sz w:val="36"/>
          <w:szCs w:val="36"/>
        </w:rPr>
        <w:t>L</w:t>
      </w:r>
      <w:r w:rsidRPr="000B496F">
        <w:rPr>
          <w:rFonts w:ascii="Minion Pro" w:eastAsia="Minion Pro" w:hAnsi="Minion Pro" w:cs="Minion Pro" w:hint="cs"/>
          <w:b/>
          <w:bCs/>
          <w:color w:val="337AB7"/>
          <w:sz w:val="36"/>
          <w:szCs w:val="36"/>
        </w:rPr>
        <w:t>eveling</w:t>
      </w:r>
      <w:r w:rsidRPr="000B496F">
        <w:rPr>
          <w:rFonts w:ascii="Minion Pro" w:eastAsia="Minion Pro" w:hAnsi="Minion Pro" w:cs="Minion Pro"/>
          <w:b/>
          <w:bCs/>
          <w:color w:val="337AB7"/>
          <w:sz w:val="36"/>
          <w:szCs w:val="36"/>
        </w:rPr>
        <w:t xml:space="preserve"> </w:t>
      </w:r>
      <w:r w:rsidRPr="000B496F">
        <w:rPr>
          <w:rFonts w:ascii="Minion Pro" w:eastAsia="Minion Pro" w:hAnsi="Minion Pro" w:cs="Minion Pro" w:hint="cs"/>
          <w:b/>
          <w:bCs/>
          <w:color w:val="337AB7"/>
          <w:sz w:val="36"/>
          <w:szCs w:val="36"/>
        </w:rPr>
        <w:t xml:space="preserve"> </w:t>
      </w:r>
      <w:r w:rsidR="000B496F">
        <w:rPr>
          <w:rFonts w:ascii="Minion Pro" w:eastAsia="Minion Pro" w:hAnsi="Minion Pro" w:cs="Minion Pro"/>
          <w:b/>
          <w:bCs/>
          <w:color w:val="337AB7"/>
          <w:sz w:val="36"/>
          <w:szCs w:val="36"/>
        </w:rPr>
        <w:t xml:space="preserve">and </w:t>
      </w:r>
      <w:r w:rsidR="000B496F" w:rsidRPr="000B496F">
        <w:rPr>
          <w:rFonts w:ascii="Minion Pro" w:eastAsia="Minion Pro" w:hAnsi="Minion Pro" w:cs="Minion Pro"/>
          <w:b/>
          <w:bCs/>
          <w:color w:val="337AB7"/>
          <w:sz w:val="36"/>
          <w:szCs w:val="36"/>
        </w:rPr>
        <w:t>pain perception</w:t>
      </w:r>
    </w:p>
    <w:p w:rsidR="005973B9" w:rsidRDefault="00A30BD1" w:rsidP="00320C08">
      <w:pPr>
        <w:pStyle w:val="BodyText"/>
        <w:spacing w:before="73" w:line="198" w:lineRule="exact"/>
        <w:ind w:left="100" w:right="5987"/>
        <w:rPr>
          <w:rFonts w:ascii="Arial"/>
        </w:rPr>
      </w:pPr>
      <w:r>
        <w:rPr>
          <w:rFonts w:ascii="Arial"/>
        </w:rPr>
        <w:t xml:space="preserve">Ali </w:t>
      </w:r>
      <w:proofErr w:type="spellStart"/>
      <w:r>
        <w:rPr>
          <w:rFonts w:ascii="Arial"/>
        </w:rPr>
        <w:t>Ghssan</w:t>
      </w:r>
      <w:proofErr w:type="spellEnd"/>
      <w:r>
        <w:rPr>
          <w:rFonts w:ascii="Arial"/>
        </w:rPr>
        <w:t xml:space="preserve"> </w:t>
      </w:r>
      <w:proofErr w:type="spellStart"/>
      <w:r>
        <w:rPr>
          <w:rFonts w:ascii="Arial"/>
        </w:rPr>
        <w:t>Rokia</w:t>
      </w:r>
      <w:proofErr w:type="spellEnd"/>
      <w:r w:rsidR="005973B9">
        <w:rPr>
          <w:rFonts w:ascii="Arial"/>
        </w:rPr>
        <w:t xml:space="preserve">, PhD, </w:t>
      </w:r>
      <w:r w:rsidR="00320C08" w:rsidRPr="00320C08">
        <w:rPr>
          <w:rFonts w:ascii="Arial"/>
        </w:rPr>
        <w:t xml:space="preserve">Orthodontics and </w:t>
      </w:r>
      <w:proofErr w:type="spellStart"/>
      <w:r w:rsidR="00320C08" w:rsidRPr="00320C08">
        <w:rPr>
          <w:rFonts w:ascii="Arial"/>
        </w:rPr>
        <w:t>Dentofacial</w:t>
      </w:r>
      <w:proofErr w:type="spellEnd"/>
      <w:r w:rsidR="00320C08" w:rsidRPr="00320C08">
        <w:rPr>
          <w:rFonts w:ascii="Arial"/>
        </w:rPr>
        <w:t xml:space="preserve"> Orthopedics</w:t>
      </w:r>
      <w:r w:rsidR="005973B9">
        <w:rPr>
          <w:rFonts w:ascii="Arial"/>
        </w:rPr>
        <w:t xml:space="preserve">, </w:t>
      </w:r>
      <w:r>
        <w:rPr>
          <w:rFonts w:ascii="Arial"/>
        </w:rPr>
        <w:t xml:space="preserve">Syria </w:t>
      </w:r>
      <w:r w:rsidR="005973B9">
        <w:rPr>
          <w:rFonts w:ascii="Arial"/>
        </w:rPr>
        <w:t xml:space="preserve"> </w:t>
      </w:r>
    </w:p>
    <w:p w:rsidR="00AE3E37" w:rsidRPr="00320C08" w:rsidRDefault="00AE3E37">
      <w:pPr>
        <w:pStyle w:val="BodyText"/>
        <w:rPr>
          <w:rFonts w:ascii="Arial"/>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D57BF1" w:rsidRPr="00D57BF1" w:rsidRDefault="00D57BF1" w:rsidP="00BF5CA0">
      <w:pPr>
        <w:shd w:val="clear" w:color="auto" w:fill="FFFFFF" w:themeFill="background1"/>
        <w:jc w:val="both"/>
        <w:rPr>
          <w:sz w:val="18"/>
          <w:szCs w:val="18"/>
        </w:rPr>
      </w:pPr>
      <w:r w:rsidRPr="00D57BF1">
        <w:rPr>
          <w:sz w:val="18"/>
          <w:szCs w:val="18"/>
        </w:rPr>
        <w:t>Background</w:t>
      </w:r>
      <w:r w:rsidR="00B26AF0">
        <w:rPr>
          <w:sz w:val="18"/>
          <w:szCs w:val="18"/>
        </w:rPr>
        <w:t>:</w:t>
      </w:r>
      <w:r w:rsidRPr="00D57BF1">
        <w:rPr>
          <w:sz w:val="18"/>
          <w:szCs w:val="18"/>
        </w:rPr>
        <w:t xml:space="preserve"> The long duration of orthodontic treatment is one of the factors that reduce the desire of patients to undergo orthodontic treatment. Many methods have been devised to accelerate the orthodontic movement</w:t>
      </w:r>
      <w:r w:rsidR="00BF5CA0">
        <w:rPr>
          <w:sz w:val="18"/>
          <w:szCs w:val="18"/>
        </w:rPr>
        <w:t xml:space="preserve"> .</w:t>
      </w:r>
      <w:r w:rsidRPr="00D57BF1">
        <w:rPr>
          <w:sz w:val="18"/>
          <w:szCs w:val="18"/>
        </w:rPr>
        <w:t xml:space="preserve">The injection of platelet rich </w:t>
      </w:r>
      <w:proofErr w:type="gramStart"/>
      <w:r w:rsidRPr="00D57BF1">
        <w:rPr>
          <w:sz w:val="18"/>
          <w:szCs w:val="18"/>
        </w:rPr>
        <w:t>fibrin(</w:t>
      </w:r>
      <w:proofErr w:type="gramEnd"/>
      <w:r w:rsidRPr="00D57BF1">
        <w:rPr>
          <w:sz w:val="18"/>
          <w:szCs w:val="18"/>
        </w:rPr>
        <w:t>I-PRF) is one of the modern methods, whose role is still unknown in accelerating dental movement and reduction in the duration of orthodontic treatment</w:t>
      </w:r>
      <w:r w:rsidR="00B26AF0">
        <w:rPr>
          <w:sz w:val="18"/>
          <w:szCs w:val="18"/>
        </w:rPr>
        <w:t>.</w:t>
      </w:r>
    </w:p>
    <w:p w:rsidR="00D57BF1" w:rsidRPr="00D57BF1" w:rsidRDefault="00D57BF1" w:rsidP="00BF5CA0">
      <w:pPr>
        <w:shd w:val="clear" w:color="auto" w:fill="FFFFFF" w:themeFill="background1"/>
        <w:jc w:val="both"/>
        <w:rPr>
          <w:sz w:val="18"/>
          <w:szCs w:val="18"/>
          <w:rtl/>
        </w:rPr>
      </w:pPr>
      <w:proofErr w:type="gramStart"/>
      <w:r w:rsidRPr="00D57BF1">
        <w:rPr>
          <w:sz w:val="18"/>
          <w:szCs w:val="18"/>
        </w:rPr>
        <w:t>Objectives.</w:t>
      </w:r>
      <w:proofErr w:type="gramEnd"/>
      <w:r w:rsidRPr="00D57BF1">
        <w:rPr>
          <w:sz w:val="18"/>
          <w:szCs w:val="18"/>
        </w:rPr>
        <w:t xml:space="preserve">  </w:t>
      </w:r>
      <w:proofErr w:type="gramStart"/>
      <w:r w:rsidRPr="00D57BF1">
        <w:rPr>
          <w:sz w:val="18"/>
          <w:szCs w:val="18"/>
        </w:rPr>
        <w:t>the</w:t>
      </w:r>
      <w:proofErr w:type="gramEnd"/>
      <w:r w:rsidRPr="00D57BF1">
        <w:rPr>
          <w:sz w:val="18"/>
          <w:szCs w:val="18"/>
        </w:rPr>
        <w:t xml:space="preserve"> aim of this study is to evaluate the effectiveness of injection I- PRF to</w:t>
      </w:r>
      <w:r w:rsidR="00BF5CA0">
        <w:rPr>
          <w:sz w:val="18"/>
          <w:szCs w:val="18"/>
        </w:rPr>
        <w:t xml:space="preserve"> </w:t>
      </w:r>
      <w:r w:rsidRPr="00D57BF1">
        <w:rPr>
          <w:sz w:val="18"/>
          <w:szCs w:val="18"/>
        </w:rPr>
        <w:t>accelerate alignment and leveling of the upper anterior teeth and reduce the time  required for treatment</w:t>
      </w:r>
      <w:r w:rsidR="00B26AF0" w:rsidRPr="00B26AF0">
        <w:rPr>
          <w:rFonts w:asciiTheme="majorBidi" w:eastAsia="Calibri" w:hAnsiTheme="majorBidi" w:cstheme="majorBidi"/>
          <w:sz w:val="24"/>
          <w:szCs w:val="24"/>
        </w:rPr>
        <w:t xml:space="preserve"> </w:t>
      </w:r>
      <w:r w:rsidR="00B26AF0" w:rsidRPr="00B26AF0">
        <w:rPr>
          <w:sz w:val="18"/>
          <w:szCs w:val="18"/>
        </w:rPr>
        <w:t>and</w:t>
      </w:r>
      <w:r w:rsidR="00B26AF0">
        <w:rPr>
          <w:rFonts w:asciiTheme="majorBidi" w:eastAsia="Calibri" w:hAnsiTheme="majorBidi" w:cstheme="majorBidi"/>
          <w:sz w:val="24"/>
          <w:szCs w:val="24"/>
        </w:rPr>
        <w:t xml:space="preserve"> </w:t>
      </w:r>
      <w:r w:rsidR="00B26AF0" w:rsidRPr="00B26AF0">
        <w:rPr>
          <w:sz w:val="18"/>
          <w:szCs w:val="18"/>
        </w:rPr>
        <w:t>pain perception during the first week of the alignment and leveling process.</w:t>
      </w:r>
      <w:r w:rsidRPr="00D57BF1">
        <w:rPr>
          <w:rFonts w:hint="cs"/>
          <w:sz w:val="18"/>
          <w:szCs w:val="18"/>
          <w:rtl/>
        </w:rPr>
        <w:t xml:space="preserve">  </w:t>
      </w:r>
    </w:p>
    <w:p w:rsidR="00D57BF1" w:rsidRPr="00D57BF1" w:rsidRDefault="00D57BF1" w:rsidP="00BF5CA0">
      <w:pPr>
        <w:pStyle w:val="HTMLPreformatted"/>
        <w:shd w:val="clear" w:color="auto" w:fill="FFFFFF" w:themeFill="background1"/>
        <w:jc w:val="both"/>
        <w:rPr>
          <w:rFonts w:ascii="Tw Cen MT" w:eastAsia="Tw Cen MT" w:hAnsi="Tw Cen MT" w:cs="Tw Cen MT"/>
          <w:sz w:val="18"/>
          <w:szCs w:val="18"/>
        </w:rPr>
      </w:pPr>
      <w:r w:rsidRPr="00D57BF1">
        <w:rPr>
          <w:rFonts w:ascii="Tw Cen MT" w:eastAsia="Tw Cen MT" w:hAnsi="Tw Cen MT" w:cs="Tw Cen MT"/>
          <w:sz w:val="18"/>
          <w:szCs w:val="18"/>
        </w:rPr>
        <w:t>Material and Methods</w:t>
      </w:r>
      <w:r w:rsidR="00B26AF0">
        <w:rPr>
          <w:rFonts w:ascii="Tw Cen MT" w:eastAsia="Tw Cen MT" w:hAnsi="Tw Cen MT" w:cs="Tw Cen MT"/>
          <w:sz w:val="18"/>
          <w:szCs w:val="18"/>
        </w:rPr>
        <w:t>:</w:t>
      </w:r>
      <w:r w:rsidRPr="00D57BF1">
        <w:rPr>
          <w:rFonts w:ascii="Tw Cen MT" w:eastAsia="Tw Cen MT" w:hAnsi="Tw Cen MT" w:cs="Tw Cen MT"/>
          <w:sz w:val="18"/>
          <w:szCs w:val="18"/>
        </w:rPr>
        <w:t xml:space="preserve"> The sample consisted of 1</w:t>
      </w:r>
      <w:r w:rsidR="00B26AF0">
        <w:rPr>
          <w:rFonts w:ascii="Tw Cen MT" w:eastAsia="Tw Cen MT" w:hAnsi="Tw Cen MT" w:cs="Tw Cen MT"/>
          <w:sz w:val="18"/>
          <w:szCs w:val="18"/>
        </w:rPr>
        <w:t>8</w:t>
      </w:r>
      <w:r w:rsidRPr="00D57BF1">
        <w:rPr>
          <w:rFonts w:ascii="Tw Cen MT" w:eastAsia="Tw Cen MT" w:hAnsi="Tw Cen MT" w:cs="Tw Cen MT"/>
          <w:sz w:val="18"/>
          <w:szCs w:val="18"/>
        </w:rPr>
        <w:t xml:space="preserve"> patients (1</w:t>
      </w:r>
      <w:r w:rsidR="00B26AF0">
        <w:rPr>
          <w:rFonts w:ascii="Tw Cen MT" w:eastAsia="Tw Cen MT" w:hAnsi="Tw Cen MT" w:cs="Tw Cen MT"/>
          <w:sz w:val="18"/>
          <w:szCs w:val="18"/>
        </w:rPr>
        <w:t>1</w:t>
      </w:r>
      <w:r w:rsidRPr="00D57BF1">
        <w:rPr>
          <w:rFonts w:ascii="Tw Cen MT" w:eastAsia="Tw Cen MT" w:hAnsi="Tw Cen MT" w:cs="Tw Cen MT"/>
          <w:sz w:val="18"/>
          <w:szCs w:val="18"/>
        </w:rPr>
        <w:t xml:space="preserve"> famales,</w:t>
      </w:r>
      <w:r w:rsidR="00B26AF0">
        <w:rPr>
          <w:rFonts w:ascii="Tw Cen MT" w:eastAsia="Tw Cen MT" w:hAnsi="Tw Cen MT" w:cs="Tw Cen MT"/>
          <w:sz w:val="18"/>
          <w:szCs w:val="18"/>
        </w:rPr>
        <w:t>7</w:t>
      </w:r>
      <w:r w:rsidRPr="00D57BF1">
        <w:rPr>
          <w:rFonts w:ascii="Tw Cen MT" w:eastAsia="Tw Cen MT" w:hAnsi="Tw Cen MT" w:cs="Tw Cen MT"/>
          <w:sz w:val="18"/>
          <w:szCs w:val="18"/>
        </w:rPr>
        <w:t xml:space="preserve"> males),  who needed the alignment and leveling of upper anterior teeth, The patients were randomly assigned to 2 groups: the study group would be injected  platelet rich fibrin (I-PRF) and a control group for which only brackets would be applied. The treatment progress was evaluated at 3 time stages, and the studied variables were the alignment and leveling Improvement </w:t>
      </w:r>
      <w:r w:rsidR="00BF5CA0">
        <w:rPr>
          <w:rFonts w:ascii="Tw Cen MT" w:eastAsia="Tw Cen MT" w:hAnsi="Tw Cen MT" w:cs="Tw Cen MT"/>
          <w:sz w:val="18"/>
          <w:szCs w:val="18"/>
        </w:rPr>
        <w:t>.</w:t>
      </w:r>
      <w:r w:rsidR="00B26AF0" w:rsidRPr="00B26AF0">
        <w:rPr>
          <w:rFonts w:ascii="Tw Cen MT" w:eastAsia="Tw Cen MT" w:hAnsi="Tw Cen MT" w:cs="Tw Cen MT"/>
          <w:sz w:val="18"/>
          <w:szCs w:val="18"/>
        </w:rPr>
        <w:t>The pain parameters of each patient were evaluated for both groups during the first week of the alignment and leveling process by application of the (VAS) at the durations of (2 hours, 6 hours, 1 day, 2 days, 7 days)</w:t>
      </w:r>
    </w:p>
    <w:p w:rsidR="00D57BF1" w:rsidRPr="00D57BF1" w:rsidRDefault="00D57BF1" w:rsidP="00BF5CA0">
      <w:pPr>
        <w:pStyle w:val="HTMLPreformatted"/>
        <w:shd w:val="clear" w:color="auto" w:fill="FFFFFF" w:themeFill="background1"/>
        <w:jc w:val="both"/>
        <w:rPr>
          <w:rFonts w:ascii="Tw Cen MT" w:eastAsia="Tw Cen MT" w:hAnsi="Tw Cen MT" w:cs="Tw Cen MT"/>
          <w:sz w:val="18"/>
          <w:szCs w:val="18"/>
        </w:rPr>
      </w:pPr>
      <w:proofErr w:type="gramStart"/>
      <w:r w:rsidRPr="00D57BF1">
        <w:rPr>
          <w:rFonts w:ascii="Tw Cen MT" w:eastAsia="Tw Cen MT" w:hAnsi="Tw Cen MT" w:cs="Tw Cen MT"/>
          <w:sz w:val="18"/>
          <w:szCs w:val="18"/>
        </w:rPr>
        <w:t>Results.</w:t>
      </w:r>
      <w:proofErr w:type="gramEnd"/>
      <w:r w:rsidRPr="00D57BF1">
        <w:rPr>
          <w:rFonts w:ascii="Tw Cen MT" w:eastAsia="Tw Cen MT" w:hAnsi="Tw Cen MT" w:cs="Tw Cen MT"/>
          <w:sz w:val="18"/>
          <w:szCs w:val="18"/>
        </w:rPr>
        <w:t xml:space="preserve"> The results of the study showed that platelet rich fibrin injection I-PRF was ineffective in accelerating the alignment and the leveling </w:t>
      </w:r>
      <w:proofErr w:type="gramStart"/>
      <w:r w:rsidRPr="00D57BF1">
        <w:rPr>
          <w:rFonts w:ascii="Tw Cen MT" w:eastAsia="Tw Cen MT" w:hAnsi="Tw Cen MT" w:cs="Tw Cen MT"/>
          <w:sz w:val="18"/>
          <w:szCs w:val="18"/>
        </w:rPr>
        <w:t>process(</w:t>
      </w:r>
      <w:proofErr w:type="gramEnd"/>
      <w:r w:rsidRPr="00D57BF1">
        <w:rPr>
          <w:rFonts w:ascii="Tw Cen MT" w:eastAsia="Tw Cen MT" w:hAnsi="Tw Cen MT" w:cs="Tw Cen MT"/>
          <w:sz w:val="18"/>
          <w:szCs w:val="18"/>
        </w:rPr>
        <w:t xml:space="preserve">P &gt;0.05) </w:t>
      </w:r>
      <w:r w:rsidR="00B26AF0" w:rsidRPr="00B26AF0">
        <w:rPr>
          <w:rFonts w:ascii="Tw Cen MT" w:eastAsia="Tw Cen MT" w:hAnsi="Tw Cen MT" w:cs="Tw Cen MT"/>
          <w:sz w:val="18"/>
          <w:szCs w:val="18"/>
        </w:rPr>
        <w:t>PRF injection can reduce pain perception in orthodontic patients, overall (P&lt;0.05), with an effect size of approx. 53±0.13%. The biggest effect was observed 2 hours after exposure (P&lt;0.1) which showed a 50% reduction in pain in the PRF group</w:t>
      </w:r>
      <w:r w:rsidR="00BF5CA0">
        <w:rPr>
          <w:rFonts w:ascii="Tw Cen MT" w:eastAsia="Tw Cen MT" w:hAnsi="Tw Cen MT" w:cs="Tw Cen MT"/>
          <w:sz w:val="18"/>
          <w:szCs w:val="18"/>
        </w:rPr>
        <w:t>.</w:t>
      </w:r>
    </w:p>
    <w:p w:rsidR="00D57BF1" w:rsidRPr="00D57BF1" w:rsidRDefault="00D57BF1" w:rsidP="00B26AF0">
      <w:pPr>
        <w:pStyle w:val="HTMLPreformatted"/>
        <w:shd w:val="clear" w:color="auto" w:fill="FFFFFF" w:themeFill="background1"/>
        <w:jc w:val="both"/>
        <w:rPr>
          <w:rFonts w:ascii="Tw Cen MT" w:eastAsia="Tw Cen MT" w:hAnsi="Tw Cen MT" w:cs="Tw Cen MT"/>
          <w:sz w:val="18"/>
          <w:szCs w:val="18"/>
        </w:rPr>
      </w:pPr>
      <w:proofErr w:type="gramStart"/>
      <w:r w:rsidRPr="00D57BF1">
        <w:rPr>
          <w:rFonts w:ascii="Tw Cen MT" w:eastAsia="Tw Cen MT" w:hAnsi="Tw Cen MT" w:cs="Tw Cen MT"/>
          <w:sz w:val="18"/>
          <w:szCs w:val="18"/>
        </w:rPr>
        <w:t>Conclusions.</w:t>
      </w:r>
      <w:proofErr w:type="gramEnd"/>
      <w:r w:rsidRPr="00D57BF1">
        <w:rPr>
          <w:rFonts w:ascii="Tw Cen MT" w:eastAsia="Tw Cen MT" w:hAnsi="Tw Cen MT" w:cs="Tw Cen MT"/>
          <w:sz w:val="18"/>
          <w:szCs w:val="18"/>
        </w:rPr>
        <w:t xml:space="preserve"> Injection platelet rich fibrin I-PRF is ineffective in accelerating orthodontic movement.</w:t>
      </w:r>
      <w:r w:rsidR="00BF5CA0" w:rsidRPr="00BF5CA0">
        <w:rPr>
          <w:rFonts w:asciiTheme="majorBidi" w:eastAsia="Calibri" w:hAnsiTheme="majorBidi" w:cstheme="majorBidi"/>
          <w:sz w:val="24"/>
          <w:szCs w:val="24"/>
        </w:rPr>
        <w:t xml:space="preserve"> </w:t>
      </w:r>
      <w:r w:rsidR="00BF5CA0" w:rsidRPr="00BF5CA0">
        <w:rPr>
          <w:rFonts w:ascii="Tw Cen MT" w:eastAsia="Tw Cen MT" w:hAnsi="Tw Cen MT" w:cs="Tw Cen MT"/>
          <w:sz w:val="18"/>
          <w:szCs w:val="18"/>
        </w:rPr>
        <w:t>PRF injection can be an effective alternative for decreasing pain perception levels</w:t>
      </w:r>
      <w:r w:rsidR="00BF5CA0">
        <w:rPr>
          <w:rFonts w:ascii="Tw Cen MT" w:eastAsia="Tw Cen MT" w:hAnsi="Tw Cen MT" w:cs="Tw Cen MT"/>
          <w:sz w:val="18"/>
          <w:szCs w:val="18"/>
        </w:rPr>
        <w:t>.</w:t>
      </w:r>
    </w:p>
    <w:p w:rsidR="00D57BF1" w:rsidRPr="00D57BF1" w:rsidRDefault="00D57BF1" w:rsidP="00BF5CA0">
      <w:pPr>
        <w:pStyle w:val="Heading3"/>
        <w:spacing w:before="147"/>
        <w:ind w:left="0"/>
        <w:jc w:val="both"/>
        <w:rPr>
          <w:rFonts w:ascii="Tw Cen MT" w:eastAsia="Tw Cen MT" w:hAnsi="Tw Cen MT" w:cs="Tw Cen MT"/>
          <w:b w:val="0"/>
          <w:bCs w:val="0"/>
          <w:sz w:val="18"/>
          <w:szCs w:val="18"/>
        </w:rPr>
      </w:pPr>
      <w:r w:rsidRPr="00D57BF1">
        <w:rPr>
          <w:rFonts w:ascii="Tw Cen MT" w:eastAsia="Tw Cen MT" w:hAnsi="Tw Cen MT" w:cs="Tw Cen MT"/>
          <w:b w:val="0"/>
          <w:bCs w:val="0"/>
          <w:sz w:val="18"/>
          <w:szCs w:val="18"/>
        </w:rPr>
        <w:t xml:space="preserve">  </w:t>
      </w:r>
    </w:p>
    <w:p w:rsidR="00AE3E37" w:rsidRDefault="00AE3E37">
      <w:pPr>
        <w:pStyle w:val="BodyText"/>
        <w:spacing w:before="2"/>
        <w:rPr>
          <w:rFonts w:ascii="Arial"/>
          <w:b/>
          <w:sz w:val="16"/>
        </w:rPr>
      </w:pPr>
    </w:p>
    <w:p w:rsidR="00257F84" w:rsidRDefault="005973B9" w:rsidP="005973B9">
      <w:pPr>
        <w:spacing w:line="204" w:lineRule="exact"/>
        <w:rPr>
          <w:rFonts w:ascii="Arial"/>
          <w:b/>
          <w:color w:val="BF5A14"/>
          <w:sz w:val="20"/>
        </w:rPr>
      </w:pPr>
      <w:r>
        <w:rPr>
          <w:rFonts w:ascii="Arial"/>
          <w:b/>
          <w:color w:val="BF5A14"/>
          <w:sz w:val="20"/>
        </w:rPr>
        <w:br/>
      </w: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C95E3E">
      <w:pPr>
        <w:rPr>
          <w:rFonts w:ascii="Arial"/>
          <w:b/>
          <w:color w:val="BF5A14"/>
          <w:sz w:val="20"/>
        </w:rPr>
      </w:pPr>
    </w:p>
    <w:p w:rsidR="00257F84" w:rsidRDefault="00257F84" w:rsidP="00C95E3E">
      <w:pPr>
        <w:rPr>
          <w:rFonts w:ascii="Arial"/>
          <w:b/>
          <w:color w:val="BF5A14"/>
          <w:sz w:val="20"/>
        </w:rPr>
      </w:pPr>
    </w:p>
    <w:p w:rsidR="00257F84" w:rsidRDefault="00257F84" w:rsidP="00C95E3E">
      <w:pPr>
        <w:rPr>
          <w:rFonts w:ascii="Arial"/>
          <w:b/>
          <w:color w:val="BF5A14"/>
          <w:sz w:val="20"/>
        </w:rPr>
      </w:pPr>
    </w:p>
    <w:p w:rsidR="00C95E3E" w:rsidRDefault="00C95E3E" w:rsidP="00C95E3E">
      <w:pPr>
        <w:jc w:val="right"/>
        <w:rPr>
          <w:rFonts w:ascii="Arial"/>
          <w:b/>
          <w:color w:val="BF5A14"/>
          <w:sz w:val="20"/>
        </w:rPr>
      </w:pPr>
    </w:p>
    <w:p w:rsidR="00257F84" w:rsidRDefault="000B496F" w:rsidP="00C95E3E">
      <w:pPr>
        <w:rPr>
          <w:rFonts w:ascii="Arial"/>
          <w:b/>
          <w:color w:val="BF5A14"/>
          <w:sz w:val="20"/>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42203363" wp14:editId="6860324E">
                <wp:simplePos x="0" y="0"/>
                <wp:positionH relativeFrom="column">
                  <wp:posOffset>5944870</wp:posOffset>
                </wp:positionH>
                <wp:positionV relativeFrom="paragraph">
                  <wp:posOffset>69850</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68.1pt;margin-top:5.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p>
    <w:p w:rsidR="00257F84" w:rsidRDefault="00257F84" w:rsidP="00C95E3E">
      <w:pPr>
        <w:jc w:val="righ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257F84">
      <w:pPr>
        <w:pStyle w:val="Heading3"/>
        <w:spacing w:before="74"/>
      </w:pPr>
      <w:r>
        <w:rPr>
          <w:color w:val="BF5A14"/>
        </w:rPr>
        <w:lastRenderedPageBreak/>
        <w:t>Image</w:t>
      </w: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C95E3E" w:rsidP="005973B9">
      <w:pPr>
        <w:spacing w:line="204" w:lineRule="exact"/>
        <w:rPr>
          <w:rFonts w:ascii="Arial"/>
          <w:b/>
          <w:color w:val="BF5A14"/>
          <w:sz w:val="20"/>
        </w:rPr>
      </w:pPr>
      <w:r>
        <w:rPr>
          <w:noProof/>
          <w:lang w:val="en-IN" w:eastAsia="en-IN"/>
        </w:rPr>
        <w:drawing>
          <wp:anchor distT="0" distB="0" distL="114300" distR="114300" simplePos="0" relativeHeight="251661312" behindDoc="0" locked="0" layoutInCell="1" allowOverlap="1" wp14:anchorId="01ED9CFD" wp14:editId="13AC4DCF">
            <wp:simplePos x="0" y="0"/>
            <wp:positionH relativeFrom="margin">
              <wp:posOffset>3745865</wp:posOffset>
            </wp:positionH>
            <wp:positionV relativeFrom="margin">
              <wp:posOffset>1700530</wp:posOffset>
            </wp:positionV>
            <wp:extent cx="2143125" cy="2136140"/>
            <wp:effectExtent l="0" t="0" r="9525" b="0"/>
            <wp:wrapSquare wrapText="bothSides"/>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l="21749" t="42388" r="50156" b="7774"/>
                    <a:stretch/>
                  </pic:blipFill>
                  <pic:spPr bwMode="auto">
                    <a:xfrm>
                      <a:off x="0" y="0"/>
                      <a:ext cx="2143125" cy="21361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257F84" w:rsidRDefault="00257F84"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CB4BC1" w:rsidRDefault="00CB4BC1" w:rsidP="00CB4BC1">
      <w:pPr>
        <w:pStyle w:val="ListParagraph"/>
        <w:numPr>
          <w:ilvl w:val="0"/>
          <w:numId w:val="3"/>
        </w:numPr>
        <w:spacing w:line="360" w:lineRule="auto"/>
        <w:rPr>
          <w:sz w:val="18"/>
        </w:rPr>
      </w:pPr>
      <w:r w:rsidRPr="00CB4BC1">
        <w:rPr>
          <w:sz w:val="18"/>
        </w:rPr>
        <w:t xml:space="preserve">Ashkenazy S, </w:t>
      </w:r>
      <w:proofErr w:type="spellStart"/>
      <w:r w:rsidRPr="00CB4BC1">
        <w:rPr>
          <w:sz w:val="18"/>
        </w:rPr>
        <w:t>Ganz</w:t>
      </w:r>
      <w:proofErr w:type="spellEnd"/>
      <w:r w:rsidRPr="00CB4BC1">
        <w:rPr>
          <w:sz w:val="18"/>
        </w:rPr>
        <w:t xml:space="preserve"> FD. The Differentiation </w:t>
      </w:r>
      <w:proofErr w:type="gramStart"/>
      <w:r w:rsidRPr="00CB4BC1">
        <w:rPr>
          <w:sz w:val="18"/>
        </w:rPr>
        <w:t>Between</w:t>
      </w:r>
      <w:proofErr w:type="gramEnd"/>
      <w:r w:rsidRPr="00CB4BC1">
        <w:rPr>
          <w:sz w:val="18"/>
        </w:rPr>
        <w:t xml:space="preserve"> Pain and Discomfort: A Concept Analysis of Discomfort. Pain </w:t>
      </w:r>
      <w:proofErr w:type="spellStart"/>
      <w:r w:rsidRPr="00CB4BC1">
        <w:rPr>
          <w:sz w:val="18"/>
        </w:rPr>
        <w:t>Manag</w:t>
      </w:r>
      <w:proofErr w:type="spellEnd"/>
      <w:r w:rsidRPr="00CB4BC1">
        <w:rPr>
          <w:sz w:val="18"/>
        </w:rPr>
        <w:t xml:space="preserve"> </w:t>
      </w:r>
      <w:proofErr w:type="spellStart"/>
      <w:r w:rsidRPr="00CB4BC1">
        <w:rPr>
          <w:sz w:val="18"/>
        </w:rPr>
        <w:t>Nurs</w:t>
      </w:r>
      <w:proofErr w:type="spellEnd"/>
      <w:r w:rsidRPr="00CB4BC1">
        <w:rPr>
          <w:sz w:val="18"/>
        </w:rPr>
        <w:t xml:space="preserve"> 2019</w:t>
      </w:r>
      <w:proofErr w:type="gramStart"/>
      <w:r w:rsidRPr="00CB4BC1">
        <w:rPr>
          <w:sz w:val="18"/>
        </w:rPr>
        <w:t>;20:556</w:t>
      </w:r>
      <w:proofErr w:type="gramEnd"/>
      <w:r w:rsidRPr="00CB4BC1">
        <w:rPr>
          <w:sz w:val="18"/>
        </w:rPr>
        <w:t>-62.</w:t>
      </w:r>
    </w:p>
    <w:p w:rsidR="00257F84" w:rsidRPr="00CB4BC1" w:rsidRDefault="00257F84" w:rsidP="00CB4BC1">
      <w:pPr>
        <w:pStyle w:val="ListParagraph"/>
        <w:numPr>
          <w:ilvl w:val="0"/>
          <w:numId w:val="3"/>
        </w:numPr>
        <w:spacing w:line="360" w:lineRule="auto"/>
        <w:rPr>
          <w:sz w:val="18"/>
        </w:rPr>
      </w:pPr>
      <w:proofErr w:type="spellStart"/>
      <w:r w:rsidRPr="00257F84">
        <w:rPr>
          <w:sz w:val="18"/>
        </w:rPr>
        <w:t>Miron</w:t>
      </w:r>
      <w:proofErr w:type="spellEnd"/>
      <w:r w:rsidRPr="00257F84">
        <w:rPr>
          <w:sz w:val="18"/>
        </w:rPr>
        <w:t xml:space="preserve"> RJ, Kobayashi MF, Hernandez M, </w:t>
      </w:r>
      <w:proofErr w:type="spellStart"/>
      <w:r w:rsidRPr="00257F84">
        <w:rPr>
          <w:sz w:val="18"/>
        </w:rPr>
        <w:t>Kandalam</w:t>
      </w:r>
      <w:proofErr w:type="spellEnd"/>
      <w:r w:rsidRPr="00257F84">
        <w:rPr>
          <w:sz w:val="18"/>
        </w:rPr>
        <w:t xml:space="preserve"> U, Zhang </w:t>
      </w:r>
      <w:proofErr w:type="spellStart"/>
      <w:r w:rsidRPr="00257F84">
        <w:rPr>
          <w:sz w:val="18"/>
        </w:rPr>
        <w:t>Y,Ghanaati</w:t>
      </w:r>
      <w:proofErr w:type="spellEnd"/>
      <w:r w:rsidRPr="00257F84">
        <w:rPr>
          <w:sz w:val="18"/>
        </w:rPr>
        <w:t xml:space="preserve"> S, et al. Injectable platelet- rich fibrin (I-PRF): Opportunities in regenerative dentistry? </w:t>
      </w:r>
      <w:proofErr w:type="spellStart"/>
      <w:r w:rsidRPr="00257F84">
        <w:rPr>
          <w:sz w:val="18"/>
        </w:rPr>
        <w:t>Clin</w:t>
      </w:r>
      <w:proofErr w:type="spellEnd"/>
      <w:r w:rsidRPr="00257F84">
        <w:rPr>
          <w:sz w:val="18"/>
        </w:rPr>
        <w:t xml:space="preserve"> Oral </w:t>
      </w:r>
      <w:proofErr w:type="spellStart"/>
      <w:r w:rsidRPr="00257F84">
        <w:rPr>
          <w:sz w:val="18"/>
        </w:rPr>
        <w:t>Investig</w:t>
      </w:r>
      <w:proofErr w:type="spellEnd"/>
      <w:r w:rsidRPr="00257F84">
        <w:rPr>
          <w:sz w:val="18"/>
        </w:rPr>
        <w:t xml:space="preserve"> 2017 Nov</w:t>
      </w:r>
      <w:proofErr w:type="gramStart"/>
      <w:r w:rsidRPr="00257F84">
        <w:rPr>
          <w:sz w:val="18"/>
        </w:rPr>
        <w:t>;21</w:t>
      </w:r>
      <w:proofErr w:type="gramEnd"/>
      <w:r w:rsidRPr="00257F84">
        <w:rPr>
          <w:sz w:val="18"/>
        </w:rPr>
        <w:t>(8):2619-2627.</w:t>
      </w:r>
    </w:p>
    <w:p w:rsidR="00257F84" w:rsidRDefault="00257F84" w:rsidP="00C95E3E">
      <w:pPr>
        <w:pStyle w:val="ListParagraph"/>
        <w:numPr>
          <w:ilvl w:val="0"/>
          <w:numId w:val="3"/>
        </w:numPr>
        <w:tabs>
          <w:tab w:val="left" w:pos="384"/>
        </w:tabs>
        <w:spacing w:line="240" w:lineRule="auto"/>
        <w:ind w:right="138" w:hanging="283"/>
        <w:rPr>
          <w:sz w:val="18"/>
        </w:rPr>
      </w:pPr>
      <w:r w:rsidRPr="00257F84">
        <w:rPr>
          <w:sz w:val="18"/>
        </w:rPr>
        <w:t xml:space="preserve">Pereira CP, Pereira JR, Dick BD, Perez A, Flores-Mir C. Factors associated with patient and parent satisfaction after orthodontic treatment: a systematic review. Am J </w:t>
      </w:r>
      <w:proofErr w:type="spellStart"/>
      <w:r w:rsidRPr="00257F84">
        <w:rPr>
          <w:sz w:val="18"/>
        </w:rPr>
        <w:t>Orthod</w:t>
      </w:r>
      <w:proofErr w:type="spellEnd"/>
      <w:r w:rsidRPr="00257F84">
        <w:rPr>
          <w:sz w:val="18"/>
        </w:rPr>
        <w:t xml:space="preserve"> </w:t>
      </w:r>
      <w:proofErr w:type="spellStart"/>
      <w:r w:rsidRPr="00257F84">
        <w:rPr>
          <w:sz w:val="18"/>
        </w:rPr>
        <w:t>Dentofacial</w:t>
      </w:r>
      <w:proofErr w:type="spellEnd"/>
      <w:r w:rsidRPr="00257F84">
        <w:rPr>
          <w:sz w:val="18"/>
        </w:rPr>
        <w:t xml:space="preserve"> </w:t>
      </w:r>
      <w:proofErr w:type="spellStart"/>
      <w:r w:rsidRPr="00257F84">
        <w:rPr>
          <w:sz w:val="18"/>
        </w:rPr>
        <w:t>Orthop</w:t>
      </w:r>
      <w:proofErr w:type="spellEnd"/>
      <w:r w:rsidRPr="00257F84">
        <w:rPr>
          <w:sz w:val="18"/>
        </w:rPr>
        <w:t xml:space="preserve"> 2015Oct; 148(4):652-9.</w:t>
      </w:r>
    </w:p>
    <w:p w:rsidR="00257F84" w:rsidRDefault="00257F84" w:rsidP="00C95E3E">
      <w:pPr>
        <w:pStyle w:val="ListParagraph"/>
        <w:numPr>
          <w:ilvl w:val="0"/>
          <w:numId w:val="3"/>
        </w:numPr>
        <w:tabs>
          <w:tab w:val="left" w:pos="384"/>
        </w:tabs>
        <w:spacing w:before="92" w:line="240" w:lineRule="auto"/>
        <w:ind w:hanging="283"/>
        <w:rPr>
          <w:sz w:val="18"/>
        </w:rPr>
      </w:pPr>
      <w:proofErr w:type="spellStart"/>
      <w:r w:rsidRPr="00257F84">
        <w:rPr>
          <w:sz w:val="18"/>
        </w:rPr>
        <w:t>Kau</w:t>
      </w:r>
      <w:proofErr w:type="spellEnd"/>
      <w:r w:rsidRPr="00257F84">
        <w:rPr>
          <w:sz w:val="18"/>
        </w:rPr>
        <w:t xml:space="preserve"> CH, </w:t>
      </w:r>
      <w:proofErr w:type="spellStart"/>
      <w:r w:rsidRPr="00257F84">
        <w:rPr>
          <w:sz w:val="18"/>
        </w:rPr>
        <w:t>Kantarci</w:t>
      </w:r>
      <w:proofErr w:type="spellEnd"/>
      <w:r w:rsidRPr="00257F84">
        <w:rPr>
          <w:sz w:val="18"/>
        </w:rPr>
        <w:t xml:space="preserve"> A, Shaughnessy T, </w:t>
      </w:r>
      <w:proofErr w:type="spellStart"/>
      <w:r w:rsidRPr="00257F84">
        <w:rPr>
          <w:sz w:val="18"/>
        </w:rPr>
        <w:t>Vachiramon</w:t>
      </w:r>
      <w:proofErr w:type="spellEnd"/>
      <w:r w:rsidRPr="00257F84">
        <w:rPr>
          <w:sz w:val="18"/>
        </w:rPr>
        <w:t xml:space="preserve"> A, </w:t>
      </w:r>
      <w:proofErr w:type="spellStart"/>
      <w:r w:rsidRPr="00257F84">
        <w:rPr>
          <w:sz w:val="18"/>
        </w:rPr>
        <w:t>Santiwong</w:t>
      </w:r>
      <w:proofErr w:type="spellEnd"/>
      <w:r w:rsidRPr="00257F84">
        <w:rPr>
          <w:sz w:val="18"/>
        </w:rPr>
        <w:t xml:space="preserve"> P, de la </w:t>
      </w:r>
      <w:proofErr w:type="spellStart"/>
      <w:r w:rsidRPr="00257F84">
        <w:rPr>
          <w:sz w:val="18"/>
        </w:rPr>
        <w:t>Fuente</w:t>
      </w:r>
      <w:proofErr w:type="spellEnd"/>
      <w:r w:rsidRPr="00257F84">
        <w:rPr>
          <w:sz w:val="18"/>
        </w:rPr>
        <w:t xml:space="preserve"> A et al. </w:t>
      </w:r>
      <w:proofErr w:type="spellStart"/>
      <w:r w:rsidRPr="00257F84">
        <w:rPr>
          <w:sz w:val="18"/>
        </w:rPr>
        <w:t>Photobiomodulation</w:t>
      </w:r>
      <w:proofErr w:type="spellEnd"/>
      <w:r w:rsidRPr="00257F84">
        <w:rPr>
          <w:sz w:val="18"/>
        </w:rPr>
        <w:t xml:space="preserve"> accelerates orthodontic alignment in the early phase of treatment. </w:t>
      </w:r>
      <w:proofErr w:type="spellStart"/>
      <w:r w:rsidRPr="00257F84">
        <w:rPr>
          <w:sz w:val="18"/>
        </w:rPr>
        <w:t>Prog</w:t>
      </w:r>
      <w:proofErr w:type="spellEnd"/>
      <w:r w:rsidRPr="00257F84">
        <w:rPr>
          <w:sz w:val="18"/>
        </w:rPr>
        <w:t xml:space="preserve"> </w:t>
      </w:r>
      <w:proofErr w:type="spellStart"/>
      <w:r w:rsidRPr="00257F84">
        <w:rPr>
          <w:sz w:val="18"/>
        </w:rPr>
        <w:t>Orthod</w:t>
      </w:r>
      <w:proofErr w:type="spellEnd"/>
      <w:r w:rsidRPr="00257F84">
        <w:rPr>
          <w:sz w:val="18"/>
        </w:rPr>
        <w:t xml:space="preserve"> 2013 Sep 19</w:t>
      </w:r>
      <w:proofErr w:type="gramStart"/>
      <w:r w:rsidRPr="00257F84">
        <w:rPr>
          <w:sz w:val="18"/>
        </w:rPr>
        <w:t>;14:30</w:t>
      </w:r>
      <w:proofErr w:type="gramEnd"/>
      <w:r w:rsidRPr="00257F84">
        <w:rPr>
          <w:sz w:val="18"/>
        </w:rPr>
        <w:t>.</w:t>
      </w:r>
    </w:p>
    <w:p w:rsidR="00257F84" w:rsidRDefault="00257F84" w:rsidP="00C95E3E">
      <w:pPr>
        <w:pStyle w:val="ListParagraph"/>
        <w:numPr>
          <w:ilvl w:val="0"/>
          <w:numId w:val="3"/>
        </w:numPr>
        <w:tabs>
          <w:tab w:val="left" w:pos="384"/>
        </w:tabs>
        <w:spacing w:before="92" w:line="240" w:lineRule="auto"/>
        <w:ind w:hanging="283"/>
        <w:rPr>
          <w:sz w:val="18"/>
        </w:rPr>
      </w:pPr>
      <w:r>
        <w:t xml:space="preserve"> </w:t>
      </w:r>
      <w:proofErr w:type="spellStart"/>
      <w:r w:rsidRPr="00257F84">
        <w:rPr>
          <w:sz w:val="18"/>
        </w:rPr>
        <w:t>Choukroun</w:t>
      </w:r>
      <w:proofErr w:type="spellEnd"/>
      <w:r w:rsidRPr="00257F84">
        <w:rPr>
          <w:sz w:val="18"/>
        </w:rPr>
        <w:t xml:space="preserve"> J, </w:t>
      </w:r>
      <w:proofErr w:type="spellStart"/>
      <w:r w:rsidRPr="00257F84">
        <w:rPr>
          <w:sz w:val="18"/>
        </w:rPr>
        <w:t>Adda</w:t>
      </w:r>
      <w:proofErr w:type="spellEnd"/>
      <w:r w:rsidRPr="00257F84">
        <w:rPr>
          <w:sz w:val="18"/>
        </w:rPr>
        <w:t xml:space="preserve"> F, </w:t>
      </w:r>
      <w:proofErr w:type="spellStart"/>
      <w:r w:rsidRPr="00257F84">
        <w:rPr>
          <w:sz w:val="18"/>
        </w:rPr>
        <w:t>Schoeffler</w:t>
      </w:r>
      <w:proofErr w:type="spellEnd"/>
      <w:r w:rsidRPr="00257F84">
        <w:rPr>
          <w:sz w:val="18"/>
        </w:rPr>
        <w:t xml:space="preserve"> C, </w:t>
      </w:r>
      <w:proofErr w:type="spellStart"/>
      <w:r w:rsidRPr="00257F84">
        <w:rPr>
          <w:sz w:val="18"/>
        </w:rPr>
        <w:t>Vervelle</w:t>
      </w:r>
      <w:proofErr w:type="spellEnd"/>
      <w:r w:rsidRPr="00257F84">
        <w:rPr>
          <w:sz w:val="18"/>
        </w:rPr>
        <w:t xml:space="preserve"> A. </w:t>
      </w:r>
      <w:proofErr w:type="spellStart"/>
      <w:r w:rsidRPr="00257F84">
        <w:rPr>
          <w:sz w:val="18"/>
        </w:rPr>
        <w:t>Une</w:t>
      </w:r>
      <w:proofErr w:type="spellEnd"/>
      <w:r w:rsidRPr="00257F84">
        <w:rPr>
          <w:sz w:val="18"/>
        </w:rPr>
        <w:t xml:space="preserve"> </w:t>
      </w:r>
      <w:proofErr w:type="spellStart"/>
      <w:r w:rsidRPr="00257F84">
        <w:rPr>
          <w:sz w:val="18"/>
        </w:rPr>
        <w:t>opportunité</w:t>
      </w:r>
      <w:proofErr w:type="spellEnd"/>
      <w:r w:rsidRPr="00257F84">
        <w:rPr>
          <w:sz w:val="18"/>
        </w:rPr>
        <w:t xml:space="preserve"> en </w:t>
      </w:r>
      <w:proofErr w:type="spellStart"/>
      <w:r w:rsidRPr="00257F84">
        <w:rPr>
          <w:sz w:val="18"/>
        </w:rPr>
        <w:t>paro-implantologie</w:t>
      </w:r>
      <w:proofErr w:type="spellEnd"/>
      <w:r w:rsidRPr="00257F84">
        <w:rPr>
          <w:sz w:val="18"/>
        </w:rPr>
        <w:t xml:space="preserve">: Le PRF. </w:t>
      </w:r>
      <w:proofErr w:type="spellStart"/>
      <w:r w:rsidRPr="00257F84">
        <w:rPr>
          <w:sz w:val="18"/>
        </w:rPr>
        <w:t>Implantodontie</w:t>
      </w:r>
      <w:proofErr w:type="spellEnd"/>
      <w:r w:rsidRPr="00257F84">
        <w:rPr>
          <w:sz w:val="18"/>
        </w:rPr>
        <w:t xml:space="preserve"> 2001;42:55-62.</w:t>
      </w:r>
    </w:p>
    <w:p w:rsidR="00AE3E37" w:rsidRDefault="00AE3E37" w:rsidP="00C95E3E">
      <w:pPr>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292ED9" w:rsidP="00C95E3E">
      <w:pPr>
        <w:pStyle w:val="BodyText"/>
        <w:ind w:left="2202"/>
        <w:rPr>
          <w:rFonts w:ascii="Calibri"/>
          <w:sz w:val="4"/>
        </w:rPr>
      </w:pPr>
      <w:r>
        <w:rPr>
          <w:rFonts w:ascii="Calibri"/>
          <w:noProof/>
          <w:sz w:val="4"/>
          <w:lang w:val="en-IN" w:eastAsia="en-IN"/>
        </w:rPr>
        <w:lastRenderedPageBreak/>
        <mc:AlternateContent>
          <mc:Choice Requires="wpg">
            <w:drawing>
              <wp:inline distT="0" distB="0" distL="0" distR="0" wp14:anchorId="5431C502" wp14:editId="145FC12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Default="00113360" w:rsidP="00C95E3E">
      <w:pPr>
        <w:spacing w:before="92"/>
        <w:ind w:right="4234"/>
        <w:rPr>
          <w:rFonts w:ascii="Arial"/>
        </w:rPr>
      </w:pPr>
      <w:r>
        <w:rPr>
          <w:rFonts w:ascii="Arial"/>
          <w:b/>
          <w:noProof/>
          <w:color w:val="BF5A14"/>
          <w:sz w:val="20"/>
          <w:lang w:val="en-IN" w:eastAsia="en-IN"/>
        </w:rPr>
        <w:drawing>
          <wp:anchor distT="0" distB="0" distL="114300" distR="114300" simplePos="0" relativeHeight="251662336" behindDoc="0" locked="0" layoutInCell="1" allowOverlap="1" wp14:anchorId="3881F6CB" wp14:editId="6CE5ACB9">
            <wp:simplePos x="0" y="0"/>
            <wp:positionH relativeFrom="margin">
              <wp:posOffset>88900</wp:posOffset>
            </wp:positionH>
            <wp:positionV relativeFrom="margin">
              <wp:posOffset>8124190</wp:posOffset>
            </wp:positionV>
            <wp:extent cx="875665" cy="830580"/>
            <wp:effectExtent l="0" t="0" r="635" b="7620"/>
            <wp:wrapSquare wrapText="bothSides"/>
            <wp:docPr id="4" name="صورة 4" descr="F:\صور تخرج الدكتواه\0T1A9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صور تخرج الدكتواه\0T1A9140.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5972" t="25734" r="36111" b="44370"/>
                    <a:stretch/>
                  </pic:blipFill>
                  <pic:spPr bwMode="auto">
                    <a:xfrm>
                      <a:off x="0" y="0"/>
                      <a:ext cx="875665" cy="830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805DC8" w:rsidRPr="008D0B4B" w:rsidRDefault="00805DC8" w:rsidP="00C9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sz w:val="14"/>
        </w:rPr>
      </w:pPr>
      <w:r>
        <w:rPr>
          <w:rFonts w:ascii="Arial"/>
          <w:sz w:val="14"/>
        </w:rPr>
        <w:t xml:space="preserve">Ali </w:t>
      </w:r>
      <w:proofErr w:type="spellStart"/>
      <w:proofErr w:type="gramStart"/>
      <w:r>
        <w:rPr>
          <w:rFonts w:ascii="Arial"/>
          <w:sz w:val="14"/>
        </w:rPr>
        <w:t>Rokia</w:t>
      </w:r>
      <w:proofErr w:type="spellEnd"/>
      <w:r>
        <w:rPr>
          <w:rFonts w:ascii="Arial"/>
          <w:sz w:val="14"/>
        </w:rPr>
        <w:t xml:space="preserve"> </w:t>
      </w:r>
      <w:r w:rsidR="00A9710C">
        <w:rPr>
          <w:rFonts w:ascii="Arial"/>
          <w:sz w:val="14"/>
        </w:rPr>
        <w:t xml:space="preserve"> </w:t>
      </w:r>
      <w:r w:rsidRPr="00805DC8">
        <w:rPr>
          <w:rFonts w:ascii="Arial"/>
          <w:sz w:val="14"/>
        </w:rPr>
        <w:t>enjoys</w:t>
      </w:r>
      <w:proofErr w:type="gramEnd"/>
      <w:r w:rsidRPr="00805DC8">
        <w:rPr>
          <w:rFonts w:ascii="Arial"/>
          <w:sz w:val="14"/>
        </w:rPr>
        <w:t xml:space="preserve"> his experience in the field of orthodontics and oral health. Work has been working for a long time to accelerate orthodontic treatment after conducting research for a long period of time with the aim of shortening the duration of treatment and reducing the softness of the material for patients. We look forward to conducting more future research in order to employ our experience</w:t>
      </w:r>
    </w:p>
    <w:p w:rsidR="00AE3E37" w:rsidRDefault="00AE3E37" w:rsidP="00C95E3E">
      <w:pPr>
        <w:spacing w:before="41"/>
        <w:ind w:left="213" w:right="231"/>
        <w:jc w:val="both"/>
        <w:rPr>
          <w:rFonts w:ascii="Arial"/>
          <w:sz w:val="14"/>
        </w:rPr>
      </w:pPr>
    </w:p>
    <w:p w:rsidR="00AE3E37" w:rsidRPr="00113360" w:rsidRDefault="003F53FF" w:rsidP="00C95E3E">
      <w:pPr>
        <w:spacing w:before="62"/>
        <w:ind w:left="4217" w:right="4235"/>
        <w:jc w:val="center"/>
        <w:rPr>
          <w:rFonts w:ascii="Arial"/>
          <w:sz w:val="12"/>
          <w:szCs w:val="20"/>
        </w:rPr>
      </w:pPr>
      <w:r w:rsidRPr="00113360">
        <w:rPr>
          <w:rFonts w:ascii="Arial"/>
          <w:sz w:val="14"/>
        </w:rPr>
        <w:t>Email</w:t>
      </w:r>
      <w:r w:rsidRPr="00113360">
        <w:rPr>
          <w:rFonts w:ascii="Arial"/>
          <w:sz w:val="12"/>
          <w:szCs w:val="20"/>
        </w:rPr>
        <w:t xml:space="preserve">: </w:t>
      </w:r>
      <w:hyperlink r:id="rId11" w:history="1">
        <w:r w:rsidRPr="00113360">
          <w:rPr>
            <w:rStyle w:val="Hyperlink"/>
            <w:rFonts w:ascii="Times New Roman" w:eastAsia="Calibri" w:hAnsi="Times New Roman" w:cs="Times New Roman"/>
            <w:sz w:val="16"/>
            <w:szCs w:val="16"/>
          </w:rPr>
          <w:t>aliandalus2017@gmail.com</w:t>
        </w:r>
      </w:hyperlink>
    </w:p>
    <w:p w:rsidR="00AE3E37" w:rsidRPr="00113360" w:rsidRDefault="00292ED9" w:rsidP="00113360">
      <w:pPr>
        <w:pStyle w:val="BodyText"/>
        <w:spacing w:before="2"/>
        <w:rPr>
          <w:rFonts w:ascii="Arial"/>
          <w:szCs w:val="16"/>
        </w:rPr>
      </w:pPr>
      <w:r w:rsidRPr="00113360">
        <w:rPr>
          <w:noProof/>
          <w:sz w:val="16"/>
          <w:szCs w:val="16"/>
          <w:lang w:val="en-IN" w:eastAsia="en-IN"/>
        </w:rPr>
        <mc:AlternateContent>
          <mc:Choice Requires="wps">
            <w:drawing>
              <wp:anchor distT="0" distB="0" distL="0" distR="0" simplePos="0" relativeHeight="1072" behindDoc="0" locked="0" layoutInCell="1" allowOverlap="1" wp14:anchorId="4E4A27B7" wp14:editId="0DE289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C95E3E">
      <w:pPr>
        <w:pStyle w:val="BodyText"/>
        <w:spacing w:before="7"/>
        <w:rPr>
          <w:rFonts w:ascii="Arial"/>
          <w:sz w:val="29"/>
        </w:rPr>
      </w:pPr>
    </w:p>
    <w:p w:rsidR="00AE3E37" w:rsidRPr="00B21A57" w:rsidRDefault="00A9710C" w:rsidP="00C95E3E">
      <w:pPr>
        <w:spacing w:before="39"/>
        <w:ind w:left="100"/>
        <w:rPr>
          <w:rFonts w:ascii="Minion Pro"/>
          <w:b/>
          <w:sz w:val="20"/>
        </w:rPr>
      </w:pPr>
      <w:r w:rsidRPr="00B21A57">
        <w:rPr>
          <w:rFonts w:ascii="Minion Pro"/>
          <w:b/>
          <w:sz w:val="20"/>
        </w:rPr>
        <w:t>Notes/Comments:</w:t>
      </w:r>
      <w:r w:rsidR="00113360">
        <w:rPr>
          <w:rFonts w:ascii="Minion Pro"/>
          <w:b/>
          <w:sz w:val="20"/>
        </w:rPr>
        <w:t xml:space="preserve"> No 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bookmarkStart w:id="0" w:name="_GoBack"/>
      <w:r w:rsidR="00A702E4">
        <w:t xml:space="preserve">Ali </w:t>
      </w:r>
      <w:proofErr w:type="spellStart"/>
      <w:r w:rsidR="00A702E4">
        <w:t>Ghassan</w:t>
      </w:r>
      <w:proofErr w:type="spellEnd"/>
      <w:r w:rsidR="00A702E4">
        <w:t xml:space="preserve"> </w:t>
      </w:r>
      <w:proofErr w:type="spellStart"/>
      <w:r w:rsidR="00A702E4">
        <w:t>Rokia</w:t>
      </w:r>
      <w:bookmarkEnd w:id="0"/>
      <w:proofErr w:type="spellEnd"/>
    </w:p>
    <w:p w:rsidR="00F046EA" w:rsidRDefault="00F046EA" w:rsidP="00F046EA">
      <w:pPr>
        <w:jc w:val="both"/>
      </w:pPr>
      <w:r w:rsidRPr="0013708E">
        <w:t>Contact number</w:t>
      </w:r>
      <w:proofErr w:type="gramStart"/>
      <w:r w:rsidRPr="0013708E">
        <w:t>:</w:t>
      </w:r>
      <w:r w:rsidR="00A702E4">
        <w:t>+</w:t>
      </w:r>
      <w:proofErr w:type="gramEnd"/>
      <w:r w:rsidR="00A702E4">
        <w:t>963937969646</w:t>
      </w:r>
    </w:p>
    <w:p w:rsidR="00F046EA" w:rsidRPr="0013708E" w:rsidRDefault="00F046EA" w:rsidP="00F046EA">
      <w:pPr>
        <w:jc w:val="both"/>
      </w:pPr>
      <w:r>
        <w:t xml:space="preserve">Mail id: </w:t>
      </w:r>
      <w:hyperlink r:id="rId12" w:history="1">
        <w:r w:rsidR="003F53FF" w:rsidRPr="003F53FF">
          <w:t>aliandalus2017@gmail.com</w:t>
        </w:r>
      </w:hyperlink>
    </w:p>
    <w:p w:rsidR="00AE3E37" w:rsidRDefault="00F046EA" w:rsidP="00017FD0">
      <w:pPr>
        <w:jc w:val="both"/>
        <w:rPr>
          <w:rFonts w:ascii="Minion Pro"/>
          <w:sz w:val="26"/>
        </w:rPr>
      </w:pPr>
      <w:r w:rsidRPr="0013708E">
        <w:t>Category: (</w:t>
      </w:r>
      <w:r w:rsidRPr="003F53FF">
        <w:rPr>
          <w:b/>
          <w:bCs/>
          <w:color w:val="FF0000"/>
          <w:u w:val="single"/>
        </w:rPr>
        <w:t>Oral presentation</w:t>
      </w:r>
      <w:r w:rsidRPr="0013708E">
        <w:t>/ Poster presentation)</w:t>
      </w:r>
      <w:r>
        <w:t xml:space="preserve"> </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12C" w:rsidRDefault="001F512C">
      <w:r>
        <w:separator/>
      </w:r>
    </w:p>
  </w:endnote>
  <w:endnote w:type="continuationSeparator" w:id="0">
    <w:p w:rsidR="001F512C" w:rsidRDefault="001F5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Tw Cen"/>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7A8E6762" wp14:editId="4421169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46D29D3" wp14:editId="2AEA649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12C" w:rsidRDefault="001F512C">
      <w:r>
        <w:separator/>
      </w:r>
    </w:p>
  </w:footnote>
  <w:footnote w:type="continuationSeparator" w:id="0">
    <w:p w:rsidR="001F512C" w:rsidRDefault="001F51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D0"/>
    <w:rsid w:val="000503E0"/>
    <w:rsid w:val="000B496F"/>
    <w:rsid w:val="000E2911"/>
    <w:rsid w:val="00113360"/>
    <w:rsid w:val="001263DF"/>
    <w:rsid w:val="001F512C"/>
    <w:rsid w:val="00257F84"/>
    <w:rsid w:val="00292ED9"/>
    <w:rsid w:val="00320C08"/>
    <w:rsid w:val="00351D9B"/>
    <w:rsid w:val="00380299"/>
    <w:rsid w:val="003F53FF"/>
    <w:rsid w:val="00404E5B"/>
    <w:rsid w:val="00414F7B"/>
    <w:rsid w:val="004355DC"/>
    <w:rsid w:val="004749B4"/>
    <w:rsid w:val="00494130"/>
    <w:rsid w:val="004E3089"/>
    <w:rsid w:val="004F3523"/>
    <w:rsid w:val="005973B9"/>
    <w:rsid w:val="005A10EF"/>
    <w:rsid w:val="005B3A56"/>
    <w:rsid w:val="005D7742"/>
    <w:rsid w:val="006060CE"/>
    <w:rsid w:val="0061505C"/>
    <w:rsid w:val="0063497F"/>
    <w:rsid w:val="00714354"/>
    <w:rsid w:val="00805DC8"/>
    <w:rsid w:val="008112B9"/>
    <w:rsid w:val="00873DF0"/>
    <w:rsid w:val="008756E6"/>
    <w:rsid w:val="00897EC5"/>
    <w:rsid w:val="008C1B86"/>
    <w:rsid w:val="008E5477"/>
    <w:rsid w:val="0097704B"/>
    <w:rsid w:val="009B2D44"/>
    <w:rsid w:val="00A07E82"/>
    <w:rsid w:val="00A30BD1"/>
    <w:rsid w:val="00A52075"/>
    <w:rsid w:val="00A5775A"/>
    <w:rsid w:val="00A702E4"/>
    <w:rsid w:val="00A9710C"/>
    <w:rsid w:val="00AE3E37"/>
    <w:rsid w:val="00B21A57"/>
    <w:rsid w:val="00B26AF0"/>
    <w:rsid w:val="00B81D84"/>
    <w:rsid w:val="00BF5CA0"/>
    <w:rsid w:val="00C33602"/>
    <w:rsid w:val="00C56C74"/>
    <w:rsid w:val="00C95E3E"/>
    <w:rsid w:val="00CB4BC1"/>
    <w:rsid w:val="00CD6F55"/>
    <w:rsid w:val="00CE0E21"/>
    <w:rsid w:val="00D1450B"/>
    <w:rsid w:val="00D465B0"/>
    <w:rsid w:val="00D57BF1"/>
    <w:rsid w:val="00DE3104"/>
    <w:rsid w:val="00DE6170"/>
    <w:rsid w:val="00E30AAC"/>
    <w:rsid w:val="00E95D97"/>
    <w:rsid w:val="00EA32E1"/>
    <w:rsid w:val="00EA4B6D"/>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unhideWhenUsed/>
    <w:rsid w:val="00D57B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57BF1"/>
    <w:rPr>
      <w:rFonts w:ascii="Courier New" w:eastAsia="Times New Roman" w:hAnsi="Courier New" w:cs="Courier New"/>
      <w:sz w:val="20"/>
      <w:szCs w:val="20"/>
    </w:rPr>
  </w:style>
  <w:style w:type="character" w:customStyle="1" w:styleId="y2iqfc">
    <w:name w:val="y2iqfc"/>
    <w:basedOn w:val="DefaultParagraphFont"/>
    <w:rsid w:val="00D57B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unhideWhenUsed/>
    <w:rsid w:val="00D57B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57BF1"/>
    <w:rPr>
      <w:rFonts w:ascii="Courier New" w:eastAsia="Times New Roman" w:hAnsi="Courier New" w:cs="Courier New"/>
      <w:sz w:val="20"/>
      <w:szCs w:val="20"/>
    </w:rPr>
  </w:style>
  <w:style w:type="character" w:customStyle="1" w:styleId="y2iqfc">
    <w:name w:val="y2iqfc"/>
    <w:basedOn w:val="DefaultParagraphFont"/>
    <w:rsid w:val="00D57B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liandalus2017@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iandalus2017@g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3332</Characters>
  <Application>Microsoft Office Word</Application>
  <DocSecurity>0</DocSecurity>
  <Lines>27</Lines>
  <Paragraphs>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Microsoft</Company>
  <LinksUpToDate>false</LinksUpToDate>
  <CharactersWithSpaces>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Faiyaz</cp:lastModifiedBy>
  <cp:revision>2</cp:revision>
  <dcterms:created xsi:type="dcterms:W3CDTF">2022-12-31T03:57:00Z</dcterms:created>
  <dcterms:modified xsi:type="dcterms:W3CDTF">2022-12-31T03:57:00Z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