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/>
        <w:ind w:left="0"/>
        <w:rPr>
          <w:rFonts w:ascii="Times New Roman"/>
          <w:sz w:val="16"/>
        </w:rPr>
      </w:pPr>
    </w:p>
    <w:p>
      <w:pPr>
        <w:pStyle w:val="Title"/>
        <w:spacing w:line="235" w:lineRule="auto"/>
      </w:pPr>
      <w:r>
        <w:rPr>
          <w:color w:val="337AB7"/>
        </w:rPr>
        <w:t>Emerging</w:t>
      </w:r>
      <w:r>
        <w:rPr>
          <w:color w:val="337AB7"/>
          <w:spacing w:val="30"/>
        </w:rPr>
        <w:t> </w:t>
      </w:r>
      <w:r>
        <w:rPr>
          <w:color w:val="337AB7"/>
        </w:rPr>
        <w:t>Connection</w:t>
      </w:r>
      <w:r>
        <w:rPr>
          <w:color w:val="337AB7"/>
          <w:spacing w:val="31"/>
        </w:rPr>
        <w:t> </w:t>
      </w:r>
      <w:r>
        <w:rPr>
          <w:color w:val="337AB7"/>
        </w:rPr>
        <w:t>of</w:t>
      </w:r>
      <w:r>
        <w:rPr>
          <w:color w:val="337AB7"/>
          <w:spacing w:val="31"/>
        </w:rPr>
        <w:t> </w:t>
      </w:r>
      <w:r>
        <w:rPr>
          <w:color w:val="337AB7"/>
        </w:rPr>
        <w:t>the</w:t>
      </w:r>
      <w:r>
        <w:rPr>
          <w:color w:val="337AB7"/>
          <w:spacing w:val="31"/>
        </w:rPr>
        <w:t> </w:t>
      </w:r>
      <w:r>
        <w:rPr>
          <w:color w:val="337AB7"/>
        </w:rPr>
        <w:t>Mental</w:t>
      </w:r>
      <w:r>
        <w:rPr>
          <w:color w:val="337AB7"/>
          <w:spacing w:val="30"/>
        </w:rPr>
        <w:t> </w:t>
      </w:r>
      <w:r>
        <w:rPr>
          <w:color w:val="337AB7"/>
        </w:rPr>
        <w:t>Health</w:t>
      </w:r>
      <w:r>
        <w:rPr>
          <w:color w:val="337AB7"/>
          <w:spacing w:val="31"/>
        </w:rPr>
        <w:t> </w:t>
      </w:r>
      <w:r>
        <w:rPr>
          <w:color w:val="337AB7"/>
        </w:rPr>
        <w:t>and</w:t>
      </w:r>
      <w:r>
        <w:rPr>
          <w:color w:val="337AB7"/>
          <w:spacing w:val="31"/>
        </w:rPr>
        <w:t> </w:t>
      </w:r>
      <w:r>
        <w:rPr>
          <w:color w:val="337AB7"/>
        </w:rPr>
        <w:t>Well-being</w:t>
      </w:r>
      <w:r>
        <w:rPr>
          <w:color w:val="337AB7"/>
          <w:spacing w:val="31"/>
        </w:rPr>
        <w:t> </w:t>
      </w:r>
      <w:r>
        <w:rPr>
          <w:color w:val="337AB7"/>
        </w:rPr>
        <w:t>Axis</w:t>
      </w:r>
      <w:r>
        <w:rPr>
          <w:color w:val="337AB7"/>
          <w:spacing w:val="30"/>
        </w:rPr>
        <w:t> </w:t>
      </w:r>
      <w:r>
        <w:rPr>
          <w:color w:val="337AB7"/>
        </w:rPr>
        <w:t>with</w:t>
      </w:r>
      <w:r>
        <w:rPr>
          <w:color w:val="337AB7"/>
          <w:spacing w:val="-74"/>
        </w:rPr>
        <w:t> </w:t>
      </w:r>
      <w:r>
        <w:rPr>
          <w:color w:val="337AB7"/>
          <w:w w:val="105"/>
        </w:rPr>
        <w:t>Digital</w:t>
      </w:r>
      <w:r>
        <w:rPr>
          <w:color w:val="337AB7"/>
          <w:spacing w:val="-9"/>
          <w:w w:val="105"/>
        </w:rPr>
        <w:t> </w:t>
      </w:r>
      <w:r>
        <w:rPr>
          <w:color w:val="337AB7"/>
          <w:w w:val="105"/>
        </w:rPr>
        <w:t>Technology:</w:t>
      </w:r>
      <w:r>
        <w:rPr>
          <w:color w:val="337AB7"/>
          <w:spacing w:val="-8"/>
          <w:w w:val="105"/>
        </w:rPr>
        <w:t> </w:t>
      </w:r>
      <w:r>
        <w:rPr>
          <w:color w:val="337AB7"/>
          <w:w w:val="105"/>
        </w:rPr>
        <w:t>A</w:t>
      </w:r>
      <w:r>
        <w:rPr>
          <w:color w:val="337AB7"/>
          <w:spacing w:val="-8"/>
          <w:w w:val="105"/>
        </w:rPr>
        <w:t> </w:t>
      </w:r>
      <w:r>
        <w:rPr>
          <w:color w:val="337AB7"/>
          <w:w w:val="105"/>
        </w:rPr>
        <w:t>Quantitative</w:t>
      </w:r>
      <w:r>
        <w:rPr>
          <w:color w:val="337AB7"/>
          <w:spacing w:val="-8"/>
          <w:w w:val="105"/>
        </w:rPr>
        <w:t> </w:t>
      </w:r>
      <w:r>
        <w:rPr>
          <w:color w:val="337AB7"/>
          <w:w w:val="105"/>
        </w:rPr>
        <w:t>and</w:t>
      </w:r>
      <w:r>
        <w:rPr>
          <w:color w:val="337AB7"/>
          <w:spacing w:val="-8"/>
          <w:w w:val="105"/>
        </w:rPr>
        <w:t> </w:t>
      </w:r>
      <w:r>
        <w:rPr>
          <w:color w:val="337AB7"/>
          <w:w w:val="105"/>
        </w:rPr>
        <w:t>Qualitative</w:t>
      </w:r>
      <w:r>
        <w:rPr>
          <w:color w:val="337AB7"/>
          <w:spacing w:val="-8"/>
          <w:w w:val="105"/>
        </w:rPr>
        <w:t> </w:t>
      </w:r>
      <w:r>
        <w:rPr>
          <w:color w:val="337AB7"/>
          <w:w w:val="105"/>
        </w:rPr>
        <w:t>Study.</w:t>
      </w:r>
    </w:p>
    <w:p>
      <w:pPr>
        <w:pStyle w:val="BodyText"/>
        <w:spacing w:line="228" w:lineRule="auto" w:before="82"/>
        <w:ind w:right="6358"/>
        <w:rPr>
          <w:rFonts w:ascii="Times New Roman"/>
        </w:rPr>
      </w:pPr>
      <w:r>
        <w:rPr>
          <w:rFonts w:ascii="Times New Roman"/>
        </w:rPr>
        <w:t>Mrs Arianna Alejandra Andino, BS, University of Illinois at</w:t>
      </w:r>
      <w:r>
        <w:rPr>
          <w:rFonts w:ascii="Times New Roman"/>
          <w:spacing w:val="-42"/>
        </w:rPr>
        <w:t> </w:t>
      </w:r>
      <w:r>
        <w:rPr>
          <w:rFonts w:ascii="Times New Roman"/>
        </w:rPr>
        <w:t>Urbana-Champaign,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Champaign,</w:t>
      </w:r>
      <w:r>
        <w:rPr>
          <w:rFonts w:ascii="Times New Roman"/>
          <w:spacing w:val="-1"/>
        </w:rPr>
        <w:t> </w:t>
      </w:r>
      <w:r>
        <w:rPr>
          <w:rFonts w:ascii="Times New Roman"/>
        </w:rPr>
        <w:t>IL,</w:t>
      </w:r>
      <w:r>
        <w:rPr>
          <w:rFonts w:ascii="Times New Roman"/>
          <w:spacing w:val="-2"/>
        </w:rPr>
        <w:t> </w:t>
      </w:r>
      <w:r>
        <w:rPr>
          <w:rFonts w:ascii="Times New Roman"/>
        </w:rPr>
        <w:t>USA</w:t>
      </w:r>
    </w:p>
    <w:p>
      <w:pPr>
        <w:spacing w:line="211" w:lineRule="auto" w:before="68"/>
        <w:ind w:left="219" w:right="6151" w:firstLine="0"/>
        <w:jc w:val="left"/>
        <w:rPr>
          <w:rFonts w:ascii="Times New Roman"/>
          <w:sz w:val="20"/>
        </w:rPr>
      </w:pPr>
      <w:r>
        <w:rPr>
          <w:rFonts w:ascii="Times New Roman"/>
          <w:sz w:val="18"/>
        </w:rPr>
        <w:t>Dr Jeanne Joehler, PhD, State Farm </w:t>
      </w:r>
      <w:r>
        <w:rPr>
          <w:rFonts w:ascii="Times New Roman"/>
          <w:color w:val="231F20"/>
          <w:sz w:val="20"/>
        </w:rPr>
        <w:t>Insurance and Financial</w:t>
      </w:r>
      <w:r>
        <w:rPr>
          <w:rFonts w:ascii="Times New Roman"/>
          <w:color w:val="231F20"/>
          <w:spacing w:val="-47"/>
          <w:sz w:val="20"/>
        </w:rPr>
        <w:t> </w:t>
      </w:r>
      <w:r>
        <w:rPr>
          <w:rFonts w:ascii="Times New Roman"/>
          <w:color w:val="231F20"/>
          <w:sz w:val="20"/>
        </w:rPr>
        <w:t>Services,</w:t>
      </w:r>
      <w:r>
        <w:rPr>
          <w:rFonts w:ascii="Times New Roman"/>
          <w:color w:val="231F20"/>
          <w:spacing w:val="-2"/>
          <w:sz w:val="20"/>
        </w:rPr>
        <w:t> </w:t>
      </w:r>
      <w:r>
        <w:rPr>
          <w:rFonts w:ascii="Times New Roman"/>
          <w:color w:val="231F20"/>
          <w:sz w:val="20"/>
        </w:rPr>
        <w:t>Champaign,</w:t>
      </w:r>
      <w:r>
        <w:rPr>
          <w:rFonts w:ascii="Times New Roman"/>
          <w:color w:val="231F20"/>
          <w:spacing w:val="-1"/>
          <w:sz w:val="20"/>
        </w:rPr>
        <w:t> </w:t>
      </w:r>
      <w:r>
        <w:rPr>
          <w:rFonts w:ascii="Times New Roman"/>
          <w:color w:val="231F20"/>
          <w:sz w:val="20"/>
        </w:rPr>
        <w:t>IL,</w:t>
      </w:r>
      <w:r>
        <w:rPr>
          <w:rFonts w:ascii="Times New Roman"/>
          <w:color w:val="231F20"/>
          <w:spacing w:val="-1"/>
          <w:sz w:val="20"/>
        </w:rPr>
        <w:t> </w:t>
      </w:r>
      <w:r>
        <w:rPr>
          <w:rFonts w:ascii="Times New Roman"/>
          <w:color w:val="231F20"/>
          <w:sz w:val="20"/>
        </w:rPr>
        <w:t>USA</w:t>
      </w:r>
    </w:p>
    <w:p>
      <w:pPr>
        <w:spacing w:line="206" w:lineRule="auto" w:before="69"/>
        <w:ind w:left="219" w:right="6815" w:firstLine="0"/>
        <w:jc w:val="left"/>
        <w:rPr>
          <w:rFonts w:ascii="Times New Roman"/>
          <w:sz w:val="20"/>
        </w:rPr>
      </w:pPr>
      <w:r>
        <w:rPr>
          <w:rFonts w:ascii="Times New Roman"/>
          <w:sz w:val="18"/>
        </w:rPr>
        <w:t>Moin Rahman, State Farm </w:t>
      </w:r>
      <w:r>
        <w:rPr>
          <w:rFonts w:ascii="Times New Roman"/>
          <w:color w:val="231F20"/>
          <w:sz w:val="20"/>
        </w:rPr>
        <w:t>Insurance and Financial</w:t>
      </w:r>
      <w:r>
        <w:rPr>
          <w:rFonts w:ascii="Times New Roman"/>
          <w:color w:val="231F20"/>
          <w:spacing w:val="-47"/>
          <w:sz w:val="20"/>
        </w:rPr>
        <w:t> </w:t>
      </w:r>
      <w:r>
        <w:rPr>
          <w:rFonts w:ascii="Times New Roman"/>
          <w:color w:val="231F20"/>
          <w:sz w:val="20"/>
        </w:rPr>
        <w:t>Services,</w:t>
      </w:r>
      <w:r>
        <w:rPr>
          <w:rFonts w:ascii="Times New Roman"/>
          <w:color w:val="231F20"/>
          <w:spacing w:val="-2"/>
          <w:sz w:val="20"/>
        </w:rPr>
        <w:t> </w:t>
      </w:r>
      <w:r>
        <w:rPr>
          <w:rFonts w:ascii="Times New Roman"/>
          <w:color w:val="231F20"/>
          <w:sz w:val="20"/>
        </w:rPr>
        <w:t>Champaign,</w:t>
      </w:r>
      <w:r>
        <w:rPr>
          <w:rFonts w:ascii="Times New Roman"/>
          <w:color w:val="231F20"/>
          <w:spacing w:val="-1"/>
          <w:sz w:val="20"/>
        </w:rPr>
        <w:t> </w:t>
      </w:r>
      <w:r>
        <w:rPr>
          <w:rFonts w:ascii="Times New Roman"/>
          <w:color w:val="231F20"/>
          <w:sz w:val="20"/>
        </w:rPr>
        <w:t>IL,</w:t>
      </w:r>
      <w:r>
        <w:rPr>
          <w:rFonts w:ascii="Times New Roman"/>
          <w:color w:val="231F20"/>
          <w:spacing w:val="-1"/>
          <w:sz w:val="20"/>
        </w:rPr>
        <w:t> </w:t>
      </w:r>
      <w:r>
        <w:rPr>
          <w:rFonts w:ascii="Times New Roman"/>
          <w:color w:val="231F20"/>
          <w:sz w:val="20"/>
        </w:rPr>
        <w:t>USA</w:t>
      </w:r>
    </w:p>
    <w:p>
      <w:pPr>
        <w:pStyle w:val="BodyText"/>
        <w:ind w:left="0"/>
        <w:rPr>
          <w:rFonts w:ascii="Times New Roman"/>
          <w:sz w:val="20"/>
        </w:rPr>
      </w:pPr>
    </w:p>
    <w:p>
      <w:pPr>
        <w:pStyle w:val="BodyText"/>
        <w:spacing w:before="9"/>
        <w:ind w:left="0"/>
        <w:rPr>
          <w:rFonts w:ascii="Times New Roman"/>
          <w:sz w:val="19"/>
        </w:rPr>
      </w:pPr>
    </w:p>
    <w:p>
      <w:pPr>
        <w:spacing w:after="0"/>
        <w:rPr>
          <w:rFonts w:ascii="Times New Roman"/>
          <w:sz w:val="19"/>
        </w:rPr>
        <w:sectPr>
          <w:type w:val="continuous"/>
          <w:pgSz w:w="11900" w:h="16840"/>
          <w:pgMar w:top="1600" w:bottom="280" w:left="500" w:right="480"/>
        </w:sectPr>
      </w:pPr>
    </w:p>
    <w:p>
      <w:pPr>
        <w:pStyle w:val="Heading1"/>
        <w:spacing w:before="167"/>
        <w:ind w:left="219"/>
      </w:pPr>
      <w:r>
        <w:rPr>
          <w:color w:val="BF5A14"/>
        </w:rPr>
        <w:t>Abstract</w:t>
      </w:r>
      <w:r>
        <w:rPr>
          <w:color w:val="BF5A14"/>
          <w:spacing w:val="-3"/>
        </w:rPr>
        <w:t> </w:t>
      </w:r>
      <w:r>
        <w:rPr>
          <w:color w:val="BF5A14"/>
        </w:rPr>
        <w:t>(300</w:t>
      </w:r>
      <w:r>
        <w:rPr>
          <w:color w:val="BF5A14"/>
          <w:spacing w:val="-2"/>
        </w:rPr>
        <w:t> </w:t>
      </w:r>
      <w:r>
        <w:rPr>
          <w:color w:val="BF5A14"/>
        </w:rPr>
        <w:t>word</w:t>
      </w:r>
      <w:r>
        <w:rPr>
          <w:color w:val="BF5A14"/>
          <w:spacing w:val="-2"/>
        </w:rPr>
        <w:t> </w:t>
      </w:r>
      <w:r>
        <w:rPr>
          <w:color w:val="BF5A14"/>
        </w:rPr>
        <w:t>limit)</w:t>
      </w:r>
    </w:p>
    <w:p>
      <w:pPr>
        <w:pStyle w:val="BodyText"/>
        <w:spacing w:line="268" w:lineRule="auto" w:before="76"/>
      </w:pPr>
      <w:r>
        <w:rPr>
          <w:rFonts w:ascii="Arial"/>
          <w:b/>
          <w:w w:val="90"/>
        </w:rPr>
        <w:t>Background </w:t>
      </w:r>
      <w:r>
        <w:rPr>
          <w:w w:val="90"/>
        </w:rPr>
        <w:t>The COVID-19 pandemic exacerbated mental health</w:t>
      </w:r>
      <w:r>
        <w:rPr>
          <w:spacing w:val="1"/>
          <w:w w:val="90"/>
        </w:rPr>
        <w:t> </w:t>
      </w:r>
      <w:r>
        <w:rPr>
          <w:w w:val="95"/>
        </w:rPr>
        <w:t>concerns and highlighted the potential for digital platforms and</w:t>
      </w:r>
      <w:r>
        <w:rPr>
          <w:spacing w:val="1"/>
          <w:w w:val="95"/>
        </w:rPr>
        <w:t> </w:t>
      </w:r>
      <w:r>
        <w:rPr>
          <w:w w:val="90"/>
        </w:rPr>
        <w:t>services to provide support beyond the clinical setting. Given patients</w:t>
      </w:r>
      <w:r>
        <w:rPr>
          <w:spacing w:val="1"/>
          <w:w w:val="90"/>
        </w:rPr>
        <w:t> </w:t>
      </w:r>
      <w:r>
        <w:rPr>
          <w:spacing w:val="-2"/>
          <w:w w:val="88"/>
        </w:rPr>
        <w:t>ma</w:t>
      </w:r>
      <w:r>
        <w:rPr>
          <w:w w:val="101"/>
        </w:rPr>
        <w:t>y</w:t>
      </w:r>
      <w:r>
        <w:rPr/>
        <w:t> </w:t>
      </w:r>
      <w:r>
        <w:rPr>
          <w:spacing w:val="-2"/>
          <w:w w:val="79"/>
        </w:rPr>
        <w:t>h</w:t>
      </w:r>
      <w:r>
        <w:rPr>
          <w:spacing w:val="-2"/>
          <w:w w:val="100"/>
        </w:rPr>
        <w:t>a</w:t>
      </w:r>
      <w:r>
        <w:rPr>
          <w:spacing w:val="-2"/>
          <w:w w:val="88"/>
        </w:rPr>
        <w:t>v</w:t>
      </w:r>
      <w:r>
        <w:rPr>
          <w:w w:val="91"/>
        </w:rPr>
        <w:t>e</w:t>
      </w:r>
      <w:r>
        <w:rPr/>
        <w:t> </w:t>
      </w:r>
      <w:r>
        <w:rPr>
          <w:spacing w:val="-1"/>
          <w:w w:val="121"/>
        </w:rPr>
        <w:t>f</w:t>
      </w:r>
      <w:r>
        <w:rPr>
          <w:spacing w:val="-1"/>
          <w:w w:val="97"/>
        </w:rPr>
        <w:t>i</w:t>
      </w:r>
      <w:r>
        <w:rPr>
          <w:spacing w:val="-2"/>
          <w:w w:val="79"/>
        </w:rPr>
        <w:t>n</w:t>
      </w:r>
      <w:r>
        <w:rPr>
          <w:spacing w:val="-2"/>
          <w:w w:val="100"/>
        </w:rPr>
        <w:t>a</w:t>
      </w:r>
      <w:r>
        <w:rPr>
          <w:spacing w:val="-2"/>
          <w:w w:val="79"/>
        </w:rPr>
        <w:t>n</w:t>
      </w:r>
      <w:r>
        <w:rPr>
          <w:spacing w:val="-1"/>
          <w:w w:val="77"/>
        </w:rPr>
        <w:t>c</w:t>
      </w:r>
      <w:r>
        <w:rPr>
          <w:spacing w:val="-1"/>
          <w:w w:val="97"/>
        </w:rPr>
        <w:t>i</w:t>
      </w:r>
      <w:r>
        <w:rPr>
          <w:spacing w:val="-2"/>
          <w:w w:val="100"/>
        </w:rPr>
        <w:t>a</w:t>
      </w:r>
      <w:r>
        <w:rPr>
          <w:w w:val="97"/>
        </w:rPr>
        <w:t>l</w:t>
      </w:r>
      <w:r>
        <w:rPr>
          <w:spacing w:val="1"/>
        </w:rPr>
        <w:t> </w:t>
      </w:r>
      <w:r>
        <w:rPr>
          <w:spacing w:val="-2"/>
          <w:w w:val="79"/>
        </w:rPr>
        <w:t>h</w:t>
      </w:r>
      <w:r>
        <w:rPr>
          <w:spacing w:val="-2"/>
          <w:w w:val="100"/>
        </w:rPr>
        <w:t>a</w:t>
      </w:r>
      <w:r>
        <w:rPr>
          <w:spacing w:val="-1"/>
          <w:w w:val="101"/>
        </w:rPr>
        <w:t>r</w:t>
      </w:r>
      <w:r>
        <w:rPr>
          <w:spacing w:val="-2"/>
          <w:w w:val="100"/>
        </w:rPr>
        <w:t>d</w:t>
      </w:r>
      <w:r>
        <w:rPr>
          <w:spacing w:val="-1"/>
          <w:w w:val="67"/>
        </w:rPr>
        <w:t>s</w:t>
      </w:r>
      <w:r>
        <w:rPr>
          <w:spacing w:val="-2"/>
          <w:w w:val="79"/>
        </w:rPr>
        <w:t>h</w:t>
      </w:r>
      <w:r>
        <w:rPr>
          <w:spacing w:val="-1"/>
          <w:w w:val="97"/>
        </w:rPr>
        <w:t>i</w:t>
      </w:r>
      <w:r>
        <w:rPr>
          <w:spacing w:val="-2"/>
          <w:w w:val="100"/>
        </w:rPr>
        <w:t>p</w:t>
      </w:r>
      <w:r>
        <w:rPr>
          <w:spacing w:val="-1"/>
          <w:w w:val="67"/>
        </w:rPr>
        <w:t>s</w:t>
      </w:r>
      <w:r>
        <w:rPr>
          <w:w w:val="79"/>
        </w:rPr>
        <w:t>,</w:t>
      </w:r>
      <w:r>
        <w:rPr>
          <w:spacing w:val="1"/>
        </w:rPr>
        <w:t> </w:t>
      </w:r>
      <w:r>
        <w:rPr>
          <w:spacing w:val="-1"/>
          <w:w w:val="97"/>
        </w:rPr>
        <w:t>li</w:t>
      </w:r>
      <w:r>
        <w:rPr>
          <w:spacing w:val="-2"/>
          <w:w w:val="84"/>
        </w:rPr>
        <w:t>m</w:t>
      </w:r>
      <w:r>
        <w:rPr>
          <w:spacing w:val="-1"/>
          <w:w w:val="84"/>
        </w:rPr>
        <w:t>i</w:t>
      </w:r>
      <w:r>
        <w:rPr>
          <w:spacing w:val="-1"/>
          <w:w w:val="98"/>
        </w:rPr>
        <w:t>t</w:t>
      </w:r>
      <w:r>
        <w:rPr>
          <w:spacing w:val="-2"/>
          <w:w w:val="91"/>
        </w:rPr>
        <w:t>e</w:t>
      </w:r>
      <w:r>
        <w:rPr>
          <w:w w:val="100"/>
        </w:rPr>
        <w:t>d</w:t>
      </w:r>
      <w:r>
        <w:rPr/>
        <w:t> </w:t>
      </w:r>
      <w:r>
        <w:rPr>
          <w:spacing w:val="-2"/>
          <w:w w:val="92"/>
        </w:rPr>
        <w:t>wo</w:t>
      </w:r>
      <w:r>
        <w:rPr>
          <w:spacing w:val="-1"/>
          <w:w w:val="101"/>
        </w:rPr>
        <w:t>r</w:t>
      </w:r>
      <w:r>
        <w:rPr>
          <w:spacing w:val="-2"/>
          <w:w w:val="88"/>
        </w:rPr>
        <w:t>k</w:t>
      </w:r>
      <w:r>
        <w:rPr>
          <w:spacing w:val="-1"/>
          <w:w w:val="121"/>
        </w:rPr>
        <w:t>f</w:t>
      </w:r>
      <w:r>
        <w:rPr>
          <w:spacing w:val="-2"/>
          <w:w w:val="91"/>
        </w:rPr>
        <w:t>o</w:t>
      </w:r>
      <w:r>
        <w:rPr>
          <w:spacing w:val="-1"/>
          <w:w w:val="101"/>
        </w:rPr>
        <w:t>r</w:t>
      </w:r>
      <w:r>
        <w:rPr>
          <w:spacing w:val="-1"/>
          <w:w w:val="77"/>
        </w:rPr>
        <w:t>c</w:t>
      </w:r>
      <w:r>
        <w:rPr>
          <w:w w:val="91"/>
        </w:rPr>
        <w:t>e</w:t>
      </w:r>
      <w:r>
        <w:rPr/>
        <w:t> </w:t>
      </w:r>
      <w:r>
        <w:rPr>
          <w:spacing w:val="-1"/>
          <w:w w:val="77"/>
        </w:rPr>
        <w:t>c</w:t>
      </w:r>
      <w:r>
        <w:rPr>
          <w:spacing w:val="-2"/>
          <w:w w:val="100"/>
        </w:rPr>
        <w:t>apa</w:t>
      </w:r>
      <w:r>
        <w:rPr>
          <w:spacing w:val="-1"/>
          <w:w w:val="77"/>
        </w:rPr>
        <w:t>c</w:t>
      </w:r>
      <w:r>
        <w:rPr>
          <w:spacing w:val="-1"/>
          <w:w w:val="97"/>
        </w:rPr>
        <w:t>i</w:t>
      </w:r>
      <w:r>
        <w:rPr>
          <w:spacing w:val="-1"/>
          <w:w w:val="98"/>
        </w:rPr>
        <w:t>t</w:t>
      </w:r>
      <w:r>
        <w:rPr>
          <w:spacing w:val="-2"/>
          <w:w w:val="101"/>
        </w:rPr>
        <w:t>y</w:t>
      </w:r>
      <w:r>
        <w:rPr>
          <w:w w:val="79"/>
        </w:rPr>
        <w:t>,</w:t>
      </w:r>
      <w:r>
        <w:rPr>
          <w:spacing w:val="1"/>
        </w:rPr>
        <w:t> </w:t>
      </w:r>
      <w:r>
        <w:rPr>
          <w:spacing w:val="-2"/>
          <w:w w:val="100"/>
        </w:rPr>
        <w:t>a</w:t>
      </w:r>
      <w:r>
        <w:rPr>
          <w:spacing w:val="-2"/>
          <w:w w:val="79"/>
        </w:rPr>
        <w:t>n</w:t>
      </w:r>
      <w:r>
        <w:rPr>
          <w:spacing w:val="-2"/>
          <w:w w:val="100"/>
        </w:rPr>
        <w:t>d</w:t>
      </w:r>
      <w:r>
        <w:rPr>
          <w:spacing w:val="-2"/>
          <w:w w:val="182"/>
        </w:rPr>
        <w:t>/</w:t>
      </w:r>
      <w:r>
        <w:rPr>
          <w:spacing w:val="-2"/>
          <w:w w:val="91"/>
        </w:rPr>
        <w:t>o</w:t>
      </w:r>
      <w:r>
        <w:rPr>
          <w:w w:val="101"/>
        </w:rPr>
        <w:t>r</w:t>
      </w:r>
      <w:r>
        <w:rPr/>
        <w:t> </w:t>
      </w:r>
      <w:r>
        <w:rPr>
          <w:spacing w:val="-1"/>
          <w:w w:val="97"/>
        </w:rPr>
        <w:t>l</w:t>
      </w:r>
      <w:r>
        <w:rPr>
          <w:spacing w:val="-2"/>
          <w:w w:val="100"/>
        </w:rPr>
        <w:t>a</w:t>
      </w:r>
      <w:r>
        <w:rPr>
          <w:spacing w:val="-1"/>
          <w:w w:val="77"/>
        </w:rPr>
        <w:t>c</w:t>
      </w:r>
      <w:r>
        <w:rPr>
          <w:w w:val="88"/>
        </w:rPr>
        <w:t>k </w:t>
      </w:r>
      <w:r>
        <w:rPr>
          <w:w w:val="90"/>
        </w:rPr>
        <w:t>of access to care, there is a tremendous gap in mental health care in</w:t>
      </w:r>
      <w:r>
        <w:rPr>
          <w:spacing w:val="1"/>
          <w:w w:val="90"/>
        </w:rPr>
        <w:t> </w:t>
      </w:r>
      <w:r>
        <w:rPr>
          <w:w w:val="90"/>
        </w:rPr>
        <w:t>the</w:t>
      </w:r>
      <w:r>
        <w:rPr>
          <w:spacing w:val="-8"/>
          <w:w w:val="90"/>
        </w:rPr>
        <w:t> </w:t>
      </w:r>
      <w:r>
        <w:rPr>
          <w:w w:val="90"/>
        </w:rPr>
        <w:t>United</w:t>
      </w:r>
      <w:r>
        <w:rPr>
          <w:spacing w:val="-7"/>
          <w:w w:val="90"/>
        </w:rPr>
        <w:t> </w:t>
      </w:r>
      <w:r>
        <w:rPr>
          <w:w w:val="90"/>
        </w:rPr>
        <w:t>States.</w:t>
      </w:r>
      <w:r>
        <w:rPr>
          <w:spacing w:val="-6"/>
          <w:w w:val="90"/>
        </w:rPr>
        <w:t> </w:t>
      </w:r>
      <w:r>
        <w:rPr>
          <w:w w:val="90"/>
        </w:rPr>
        <w:t>Expanding</w:t>
      </w:r>
      <w:r>
        <w:rPr>
          <w:spacing w:val="-7"/>
          <w:w w:val="90"/>
        </w:rPr>
        <w:t> </w:t>
      </w:r>
      <w:r>
        <w:rPr>
          <w:w w:val="90"/>
        </w:rPr>
        <w:t>access</w:t>
      </w:r>
      <w:r>
        <w:rPr>
          <w:spacing w:val="-7"/>
          <w:w w:val="90"/>
        </w:rPr>
        <w:t> </w:t>
      </w:r>
      <w:r>
        <w:rPr>
          <w:w w:val="90"/>
        </w:rPr>
        <w:t>through</w:t>
      </w:r>
      <w:r>
        <w:rPr>
          <w:spacing w:val="-7"/>
          <w:w w:val="90"/>
        </w:rPr>
        <w:t> </w:t>
      </w:r>
      <w:r>
        <w:rPr>
          <w:w w:val="90"/>
        </w:rPr>
        <w:t>telehealth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leveraging</w:t>
      </w:r>
      <w:r>
        <w:rPr>
          <w:spacing w:val="-40"/>
          <w:w w:val="90"/>
        </w:rPr>
        <w:t> </w:t>
      </w:r>
      <w:r>
        <w:rPr>
          <w:spacing w:val="-2"/>
        </w:rPr>
        <w:t>technology</w:t>
      </w:r>
      <w:r>
        <w:rPr>
          <w:spacing w:val="-10"/>
        </w:rPr>
        <w:t> </w:t>
      </w:r>
      <w:r>
        <w:rPr>
          <w:spacing w:val="-2"/>
        </w:rPr>
        <w:t>have</w:t>
      </w:r>
      <w:r>
        <w:rPr>
          <w:spacing w:val="-10"/>
        </w:rPr>
        <w:t> </w:t>
      </w:r>
      <w:r>
        <w:rPr>
          <w:spacing w:val="-2"/>
        </w:rPr>
        <w:t>the</w:t>
      </w:r>
      <w:r>
        <w:rPr>
          <w:spacing w:val="-10"/>
        </w:rPr>
        <w:t> </w:t>
      </w:r>
      <w:r>
        <w:rPr>
          <w:spacing w:val="-2"/>
        </w:rPr>
        <w:t>potential</w:t>
      </w:r>
      <w:r>
        <w:rPr>
          <w:spacing w:val="-9"/>
        </w:rPr>
        <w:t> </w:t>
      </w:r>
      <w:r>
        <w:rPr>
          <w:spacing w:val="-2"/>
        </w:rPr>
        <w:t>in</w:t>
      </w:r>
      <w:r>
        <w:rPr>
          <w:spacing w:val="-10"/>
        </w:rPr>
        <w:t> </w:t>
      </w:r>
      <w:r>
        <w:rPr>
          <w:spacing w:val="-2"/>
        </w:rPr>
        <w:t>addressing</w:t>
      </w:r>
      <w:r>
        <w:rPr>
          <w:spacing w:val="-10"/>
        </w:rPr>
        <w:t> </w:t>
      </w:r>
      <w:r>
        <w:rPr>
          <w:spacing w:val="-1"/>
        </w:rPr>
        <w:t>this</w:t>
      </w:r>
      <w:r>
        <w:rPr>
          <w:spacing w:val="-9"/>
        </w:rPr>
        <w:t> </w:t>
      </w:r>
      <w:r>
        <w:rPr>
          <w:spacing w:val="-1"/>
        </w:rPr>
        <w:t>gap.</w:t>
      </w:r>
    </w:p>
    <w:p>
      <w:pPr>
        <w:pStyle w:val="BodyText"/>
        <w:spacing w:line="268" w:lineRule="auto" w:before="89"/>
      </w:pPr>
      <w:r>
        <w:rPr>
          <w:rFonts w:ascii="Arial"/>
          <w:b/>
          <w:w w:val="90"/>
        </w:rPr>
        <w:t>Objective</w:t>
      </w:r>
      <w:r>
        <w:rPr>
          <w:rFonts w:ascii="Arial"/>
          <w:b/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aim</w:t>
      </w:r>
      <w:r>
        <w:rPr>
          <w:spacing w:val="-3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this</w:t>
      </w:r>
      <w:r>
        <w:rPr>
          <w:spacing w:val="-3"/>
          <w:w w:val="90"/>
        </w:rPr>
        <w:t> </w:t>
      </w:r>
      <w:r>
        <w:rPr>
          <w:w w:val="90"/>
        </w:rPr>
        <w:t>study</w:t>
      </w:r>
      <w:r>
        <w:rPr>
          <w:spacing w:val="-3"/>
          <w:w w:val="90"/>
        </w:rPr>
        <w:t> </w:t>
      </w:r>
      <w:r>
        <w:rPr>
          <w:w w:val="90"/>
        </w:rPr>
        <w:t>is</w:t>
      </w:r>
      <w:r>
        <w:rPr>
          <w:spacing w:val="-4"/>
          <w:w w:val="90"/>
        </w:rPr>
        <w:t> </w:t>
      </w:r>
      <w:r>
        <w:rPr>
          <w:w w:val="90"/>
        </w:rPr>
        <w:t>to</w:t>
      </w:r>
      <w:r>
        <w:rPr>
          <w:spacing w:val="-3"/>
          <w:w w:val="90"/>
        </w:rPr>
        <w:t> </w:t>
      </w:r>
      <w:r>
        <w:rPr>
          <w:w w:val="90"/>
        </w:rPr>
        <w:t>investigate</w:t>
      </w:r>
      <w:r>
        <w:rPr>
          <w:spacing w:val="-3"/>
          <w:w w:val="90"/>
        </w:rPr>
        <w:t> </w:t>
      </w:r>
      <w:r>
        <w:rPr>
          <w:w w:val="90"/>
        </w:rPr>
        <w:t>the</w:t>
      </w:r>
      <w:r>
        <w:rPr>
          <w:spacing w:val="-4"/>
          <w:w w:val="90"/>
        </w:rPr>
        <w:t> </w:t>
      </w:r>
      <w:r>
        <w:rPr>
          <w:w w:val="90"/>
        </w:rPr>
        <w:t>role</w:t>
      </w:r>
      <w:r>
        <w:rPr>
          <w:spacing w:val="-1"/>
          <w:w w:val="90"/>
        </w:rPr>
        <w:t> </w:t>
      </w:r>
      <w:r>
        <w:rPr>
          <w:w w:val="90"/>
        </w:rPr>
        <w:t>and</w:t>
      </w:r>
      <w:r>
        <w:rPr>
          <w:spacing w:val="-4"/>
          <w:w w:val="90"/>
        </w:rPr>
        <w:t> </w:t>
      </w:r>
      <w:r>
        <w:rPr>
          <w:w w:val="90"/>
        </w:rPr>
        <w:t>landscape</w:t>
      </w:r>
      <w:r>
        <w:rPr>
          <w:spacing w:val="-40"/>
          <w:w w:val="90"/>
        </w:rPr>
        <w:t> </w:t>
      </w:r>
      <w:r>
        <w:rPr>
          <w:w w:val="90"/>
        </w:rPr>
        <w:t>of</w:t>
      </w:r>
      <w:r>
        <w:rPr>
          <w:spacing w:val="2"/>
          <w:w w:val="90"/>
        </w:rPr>
        <w:t> </w:t>
      </w:r>
      <w:r>
        <w:rPr>
          <w:w w:val="90"/>
        </w:rPr>
        <w:t>digital</w:t>
      </w:r>
      <w:r>
        <w:rPr>
          <w:spacing w:val="2"/>
          <w:w w:val="90"/>
        </w:rPr>
        <w:t> </w:t>
      </w:r>
      <w:r>
        <w:rPr>
          <w:w w:val="90"/>
        </w:rPr>
        <w:t>technologies</w:t>
      </w:r>
      <w:r>
        <w:rPr>
          <w:spacing w:val="3"/>
          <w:w w:val="90"/>
        </w:rPr>
        <w:t> </w:t>
      </w:r>
      <w:r>
        <w:rPr>
          <w:w w:val="90"/>
        </w:rPr>
        <w:t>in</w:t>
      </w:r>
      <w:r>
        <w:rPr>
          <w:spacing w:val="1"/>
          <w:w w:val="90"/>
        </w:rPr>
        <w:t> </w:t>
      </w:r>
      <w:r>
        <w:rPr>
          <w:w w:val="90"/>
        </w:rPr>
        <w:t>mental</w:t>
      </w:r>
      <w:r>
        <w:rPr>
          <w:spacing w:val="3"/>
          <w:w w:val="90"/>
        </w:rPr>
        <w:t> </w:t>
      </w:r>
      <w:r>
        <w:rPr>
          <w:w w:val="90"/>
        </w:rPr>
        <w:t>health</w:t>
      </w:r>
      <w:r>
        <w:rPr>
          <w:spacing w:val="1"/>
          <w:w w:val="90"/>
        </w:rPr>
        <w:t> </w:t>
      </w:r>
      <w:r>
        <w:rPr>
          <w:w w:val="90"/>
        </w:rPr>
        <w:t>management</w:t>
      </w:r>
      <w:r>
        <w:rPr>
          <w:spacing w:val="3"/>
          <w:w w:val="90"/>
        </w:rPr>
        <w:t> </w:t>
      </w:r>
      <w:r>
        <w:rPr>
          <w:w w:val="90"/>
        </w:rPr>
        <w:t>and</w:t>
      </w:r>
      <w:r>
        <w:rPr>
          <w:spacing w:val="1"/>
          <w:w w:val="90"/>
        </w:rPr>
        <w:t> </w:t>
      </w:r>
      <w:r>
        <w:rPr>
          <w:w w:val="90"/>
        </w:rPr>
        <w:t>treatment</w:t>
      </w:r>
      <w:r>
        <w:rPr>
          <w:spacing w:val="1"/>
          <w:w w:val="90"/>
        </w:rPr>
        <w:t> </w:t>
      </w:r>
      <w:r>
        <w:rPr>
          <w:spacing w:val="-1"/>
          <w:w w:val="95"/>
        </w:rPr>
        <w:t>using a mixed-methods approach involving both qualitative </w:t>
      </w:r>
      <w:r>
        <w:rPr>
          <w:w w:val="95"/>
        </w:rPr>
        <w:t>and</w:t>
      </w:r>
      <w:r>
        <w:rPr>
          <w:spacing w:val="1"/>
          <w:w w:val="95"/>
        </w:rPr>
        <w:t> </w:t>
      </w:r>
      <w:r>
        <w:rPr/>
        <w:t>quantitative</w:t>
      </w:r>
      <w:r>
        <w:rPr>
          <w:spacing w:val="-3"/>
        </w:rPr>
        <w:t> </w:t>
      </w:r>
      <w:r>
        <w:rPr/>
        <w:t>research.</w:t>
      </w:r>
    </w:p>
    <w:p>
      <w:pPr>
        <w:pStyle w:val="BodyText"/>
        <w:spacing w:line="268" w:lineRule="auto" w:before="92"/>
      </w:pPr>
      <w:r>
        <w:rPr>
          <w:rFonts w:ascii="Arial"/>
          <w:b/>
          <w:spacing w:val="-1"/>
          <w:w w:val="90"/>
        </w:rPr>
        <w:t>Methods</w:t>
      </w:r>
      <w:r>
        <w:rPr>
          <w:rFonts w:ascii="Arial"/>
          <w:b/>
          <w:spacing w:val="-7"/>
          <w:w w:val="90"/>
        </w:rPr>
        <w:t> </w:t>
      </w:r>
      <w:r>
        <w:rPr>
          <w:spacing w:val="-1"/>
          <w:w w:val="90"/>
        </w:rPr>
        <w:t>Through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a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four-stage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research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process,</w:t>
      </w:r>
      <w:r>
        <w:rPr>
          <w:spacing w:val="-4"/>
          <w:w w:val="90"/>
        </w:rPr>
        <w:t> </w:t>
      </w:r>
      <w:r>
        <w:rPr>
          <w:spacing w:val="-1"/>
          <w:w w:val="90"/>
        </w:rPr>
        <w:t>the</w:t>
      </w:r>
      <w:r>
        <w:rPr>
          <w:spacing w:val="-5"/>
          <w:w w:val="90"/>
        </w:rPr>
        <w:t> </w:t>
      </w:r>
      <w:r>
        <w:rPr>
          <w:spacing w:val="-1"/>
          <w:w w:val="90"/>
        </w:rPr>
        <w:t>authors</w:t>
      </w:r>
      <w:r>
        <w:rPr>
          <w:spacing w:val="-3"/>
          <w:w w:val="90"/>
        </w:rPr>
        <w:t> </w:t>
      </w:r>
      <w:r>
        <w:rPr>
          <w:w w:val="90"/>
        </w:rPr>
        <w:t>analyzed</w:t>
      </w:r>
      <w:r>
        <w:rPr>
          <w:spacing w:val="-40"/>
          <w:w w:val="90"/>
        </w:rPr>
        <w:t> </w:t>
      </w:r>
      <w:r>
        <w:rPr>
          <w:spacing w:val="-1"/>
          <w:w w:val="95"/>
        </w:rPr>
        <w:t>several factors, including the experience </w:t>
      </w:r>
      <w:r>
        <w:rPr>
          <w:w w:val="95"/>
        </w:rPr>
        <w:t>of young adults (1100</w:t>
      </w:r>
      <w:r>
        <w:rPr>
          <w:spacing w:val="1"/>
          <w:w w:val="95"/>
        </w:rPr>
        <w:t> </w:t>
      </w:r>
      <w:r>
        <w:rPr>
          <w:w w:val="95"/>
        </w:rPr>
        <w:t>participants) with digital mental health tools, preferences and</w:t>
      </w:r>
      <w:r>
        <w:rPr>
          <w:spacing w:val="1"/>
          <w:w w:val="95"/>
        </w:rPr>
        <w:t> </w:t>
      </w:r>
      <w:r>
        <w:rPr>
          <w:w w:val="90"/>
        </w:rPr>
        <w:t>perceived value in tools and services, reasons for abandonment, and</w:t>
      </w:r>
      <w:r>
        <w:rPr>
          <w:spacing w:val="1"/>
          <w:w w:val="90"/>
        </w:rPr>
        <w:t> </w:t>
      </w:r>
      <w:r>
        <w:rPr/>
        <w:t>increased</w:t>
      </w:r>
      <w:r>
        <w:rPr>
          <w:spacing w:val="-12"/>
        </w:rPr>
        <w:t> </w:t>
      </w:r>
      <w:r>
        <w:rPr/>
        <w:t>interest</w:t>
      </w:r>
      <w:r>
        <w:rPr>
          <w:spacing w:val="-10"/>
        </w:rPr>
        <w:t> </w:t>
      </w:r>
      <w:r>
        <w:rPr/>
        <w:t>in</w:t>
      </w:r>
      <w:r>
        <w:rPr>
          <w:spacing w:val="-11"/>
        </w:rPr>
        <w:t> </w:t>
      </w:r>
      <w:r>
        <w:rPr/>
        <w:t>using</w:t>
      </w:r>
      <w:r>
        <w:rPr>
          <w:spacing w:val="-11"/>
        </w:rPr>
        <w:t> </w:t>
      </w:r>
      <w:r>
        <w:rPr/>
        <w:t>telehealth</w:t>
      </w:r>
      <w:r>
        <w:rPr>
          <w:spacing w:val="-12"/>
        </w:rPr>
        <w:t> </w:t>
      </w:r>
      <w:r>
        <w:rPr/>
        <w:t>services.</w:t>
      </w:r>
    </w:p>
    <w:p>
      <w:pPr>
        <w:pStyle w:val="BodyText"/>
        <w:spacing w:line="266" w:lineRule="auto" w:before="89"/>
      </w:pPr>
      <w:r>
        <w:rPr>
          <w:rFonts w:ascii="Arial"/>
          <w:b/>
          <w:w w:val="90"/>
        </w:rPr>
        <w:t>Results </w:t>
      </w:r>
      <w:r>
        <w:rPr>
          <w:w w:val="90"/>
        </w:rPr>
        <w:t>The findings suggest young adults who engage in digital</w:t>
      </w:r>
      <w:r>
        <w:rPr>
          <w:spacing w:val="1"/>
          <w:w w:val="90"/>
        </w:rPr>
        <w:t> </w:t>
      </w:r>
      <w:r>
        <w:rPr>
          <w:w w:val="90"/>
        </w:rPr>
        <w:t>mental health tools view these tools as an effective way to decrease</w:t>
      </w:r>
      <w:r>
        <w:rPr>
          <w:spacing w:val="-41"/>
          <w:w w:val="90"/>
        </w:rPr>
        <w:t> </w:t>
      </w:r>
      <w:r>
        <w:rPr>
          <w:w w:val="90"/>
        </w:rPr>
        <w:t>obstacles of traditional mental health services and strengthened</w:t>
      </w:r>
      <w:r>
        <w:rPr>
          <w:spacing w:val="1"/>
          <w:w w:val="90"/>
        </w:rPr>
        <w:t> </w:t>
      </w:r>
      <w:r>
        <w:rPr>
          <w:w w:val="90"/>
        </w:rPr>
        <w:t>engagement</w:t>
      </w:r>
      <w:r>
        <w:rPr>
          <w:spacing w:val="-1"/>
          <w:w w:val="90"/>
        </w:rPr>
        <w:t> </w:t>
      </w:r>
      <w:r>
        <w:rPr>
          <w:w w:val="90"/>
        </w:rPr>
        <w:t>in</w:t>
      </w:r>
      <w:r>
        <w:rPr>
          <w:spacing w:val="-1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long-term</w:t>
      </w:r>
      <w:r>
        <w:rPr>
          <w:spacing w:val="-1"/>
          <w:w w:val="90"/>
        </w:rPr>
        <w:t> </w:t>
      </w:r>
      <w:r>
        <w:rPr>
          <w:w w:val="90"/>
        </w:rPr>
        <w:t>use</w:t>
      </w:r>
      <w:r>
        <w:rPr>
          <w:spacing w:val="-2"/>
          <w:w w:val="90"/>
        </w:rPr>
        <w:t> </w:t>
      </w:r>
      <w:r>
        <w:rPr>
          <w:w w:val="90"/>
        </w:rPr>
        <w:t>of the</w:t>
      </w:r>
      <w:r>
        <w:rPr>
          <w:spacing w:val="-1"/>
          <w:w w:val="90"/>
        </w:rPr>
        <w:t> </w:t>
      </w:r>
      <w:r>
        <w:rPr>
          <w:w w:val="90"/>
        </w:rPr>
        <w:t>mental</w:t>
      </w:r>
      <w:r>
        <w:rPr>
          <w:spacing w:val="-1"/>
          <w:w w:val="90"/>
        </w:rPr>
        <w:t> </w:t>
      </w:r>
      <w:r>
        <w:rPr>
          <w:w w:val="90"/>
        </w:rPr>
        <w:t>health</w:t>
      </w:r>
      <w:r>
        <w:rPr>
          <w:spacing w:val="-1"/>
          <w:w w:val="90"/>
        </w:rPr>
        <w:t> </w:t>
      </w:r>
      <w:r>
        <w:rPr>
          <w:w w:val="90"/>
        </w:rPr>
        <w:t>strategies.</w:t>
      </w:r>
    </w:p>
    <w:p>
      <w:pPr>
        <w:pStyle w:val="BodyText"/>
        <w:spacing w:line="268" w:lineRule="auto" w:before="95"/>
        <w:ind w:right="134"/>
      </w:pPr>
      <w:r>
        <w:rPr>
          <w:rFonts w:ascii="Arial" w:hAnsi="Arial"/>
          <w:b/>
          <w:w w:val="85"/>
        </w:rPr>
        <w:t>Conclusions</w:t>
      </w:r>
      <w:r>
        <w:rPr>
          <w:rFonts w:ascii="Arial" w:hAnsi="Arial"/>
          <w:b/>
          <w:spacing w:val="11"/>
          <w:w w:val="85"/>
        </w:rPr>
        <w:t> </w:t>
      </w:r>
      <w:r>
        <w:rPr>
          <w:w w:val="85"/>
        </w:rPr>
        <w:t>Consequently,</w:t>
      </w:r>
      <w:r>
        <w:rPr>
          <w:spacing w:val="15"/>
          <w:w w:val="85"/>
        </w:rPr>
        <w:t> </w:t>
      </w:r>
      <w:r>
        <w:rPr>
          <w:w w:val="85"/>
        </w:rPr>
        <w:t>this</w:t>
      </w:r>
      <w:r>
        <w:rPr>
          <w:spacing w:val="13"/>
          <w:w w:val="85"/>
        </w:rPr>
        <w:t> </w:t>
      </w:r>
      <w:r>
        <w:rPr>
          <w:w w:val="85"/>
        </w:rPr>
        <w:t>study</w:t>
      </w:r>
      <w:r>
        <w:rPr>
          <w:spacing w:val="14"/>
          <w:w w:val="85"/>
        </w:rPr>
        <w:t> </w:t>
      </w:r>
      <w:r>
        <w:rPr>
          <w:w w:val="85"/>
        </w:rPr>
        <w:t>highlights</w:t>
      </w:r>
      <w:r>
        <w:rPr>
          <w:spacing w:val="13"/>
          <w:w w:val="85"/>
        </w:rPr>
        <w:t> </w:t>
      </w:r>
      <w:r>
        <w:rPr>
          <w:w w:val="85"/>
        </w:rPr>
        <w:t>the</w:t>
      </w:r>
      <w:r>
        <w:rPr>
          <w:spacing w:val="14"/>
          <w:w w:val="85"/>
        </w:rPr>
        <w:t> </w:t>
      </w:r>
      <w:r>
        <w:rPr>
          <w:w w:val="85"/>
        </w:rPr>
        <w:t>growing</w:t>
      </w:r>
      <w:r>
        <w:rPr>
          <w:spacing w:val="13"/>
          <w:w w:val="85"/>
        </w:rPr>
        <w:t> </w:t>
      </w:r>
      <w:r>
        <w:rPr>
          <w:w w:val="85"/>
        </w:rPr>
        <w:t>presence</w:t>
      </w:r>
      <w:r>
        <w:rPr>
          <w:spacing w:val="1"/>
          <w:w w:val="85"/>
        </w:rPr>
        <w:t> </w:t>
      </w:r>
      <w:r>
        <w:rPr>
          <w:w w:val="90"/>
        </w:rPr>
        <w:t>of digital mental-health technologies that include tools, features, and</w:t>
      </w:r>
      <w:r>
        <w:rPr>
          <w:spacing w:val="1"/>
          <w:w w:val="90"/>
        </w:rPr>
        <w:t> </w:t>
      </w:r>
      <w:r>
        <w:rPr>
          <w:spacing w:val="-1"/>
          <w:w w:val="90"/>
        </w:rPr>
        <w:t>resources as well as the perceived as benefits, value, and usefulness.</w:t>
      </w:r>
      <w:r>
        <w:rPr>
          <w:spacing w:val="-41"/>
          <w:w w:val="90"/>
        </w:rPr>
        <w:t> </w:t>
      </w:r>
      <w:r>
        <w:rPr>
          <w:w w:val="90"/>
        </w:rPr>
        <w:t>The findings have implications for building awareness within the</w:t>
      </w:r>
      <w:r>
        <w:rPr>
          <w:spacing w:val="1"/>
          <w:w w:val="90"/>
        </w:rPr>
        <w:t> </w:t>
      </w:r>
      <w:r>
        <w:rPr>
          <w:w w:val="90"/>
        </w:rPr>
        <w:t>behavioral younger generation’s use and beliefs around these tools.</w:t>
      </w:r>
      <w:r>
        <w:rPr>
          <w:spacing w:val="1"/>
          <w:w w:val="90"/>
        </w:rPr>
        <w:t> </w:t>
      </w:r>
      <w:r>
        <w:rPr>
          <w:w w:val="90"/>
        </w:rPr>
        <w:t>Finally, this paper encourages deeper development of multipurpose,</w:t>
      </w:r>
      <w:r>
        <w:rPr>
          <w:spacing w:val="1"/>
          <w:w w:val="90"/>
        </w:rPr>
        <w:t> </w:t>
      </w:r>
      <w:r>
        <w:rPr>
          <w:w w:val="90"/>
        </w:rPr>
        <w:t>evidence-based</w:t>
      </w:r>
      <w:r>
        <w:rPr>
          <w:spacing w:val="2"/>
          <w:w w:val="90"/>
        </w:rPr>
        <w:t> </w:t>
      </w:r>
      <w:r>
        <w:rPr>
          <w:w w:val="90"/>
        </w:rPr>
        <w:t>research,</w:t>
      </w:r>
      <w:r>
        <w:rPr>
          <w:spacing w:val="3"/>
          <w:w w:val="90"/>
        </w:rPr>
        <w:t> </w:t>
      </w:r>
      <w:r>
        <w:rPr>
          <w:w w:val="90"/>
        </w:rPr>
        <w:t>and</w:t>
      </w:r>
      <w:r>
        <w:rPr>
          <w:spacing w:val="3"/>
          <w:w w:val="90"/>
        </w:rPr>
        <w:t> </w:t>
      </w:r>
      <w:r>
        <w:rPr>
          <w:w w:val="90"/>
        </w:rPr>
        <w:t>determines</w:t>
      </w:r>
      <w:r>
        <w:rPr>
          <w:spacing w:val="2"/>
          <w:w w:val="90"/>
        </w:rPr>
        <w:t> </w:t>
      </w:r>
      <w:r>
        <w:rPr>
          <w:w w:val="90"/>
        </w:rPr>
        <w:t>the</w:t>
      </w:r>
      <w:r>
        <w:rPr>
          <w:spacing w:val="3"/>
          <w:w w:val="90"/>
        </w:rPr>
        <w:t> </w:t>
      </w:r>
      <w:r>
        <w:rPr>
          <w:w w:val="90"/>
        </w:rPr>
        <w:t>value</w:t>
      </w:r>
      <w:r>
        <w:rPr>
          <w:spacing w:val="2"/>
          <w:w w:val="90"/>
        </w:rPr>
        <w:t> </w:t>
      </w:r>
      <w:r>
        <w:rPr>
          <w:w w:val="90"/>
        </w:rPr>
        <w:t>and</w:t>
      </w:r>
      <w:r>
        <w:rPr>
          <w:spacing w:val="3"/>
          <w:w w:val="90"/>
        </w:rPr>
        <w:t> </w:t>
      </w:r>
      <w:r>
        <w:rPr>
          <w:w w:val="90"/>
        </w:rPr>
        <w:t>efficacy</w:t>
      </w:r>
      <w:r>
        <w:rPr>
          <w:spacing w:val="3"/>
          <w:w w:val="90"/>
        </w:rPr>
        <w:t> </w:t>
      </w:r>
      <w:r>
        <w:rPr>
          <w:w w:val="90"/>
        </w:rPr>
        <w:t>of</w:t>
      </w:r>
      <w:r>
        <w:rPr>
          <w:spacing w:val="1"/>
          <w:w w:val="90"/>
        </w:rPr>
        <w:t> </w:t>
      </w:r>
      <w:r>
        <w:rPr/>
        <w:t>mental</w:t>
      </w:r>
      <w:r>
        <w:rPr>
          <w:spacing w:val="-3"/>
        </w:rPr>
        <w:t> </w:t>
      </w:r>
      <w:r>
        <w:rPr/>
        <w:t>health</w:t>
      </w:r>
      <w:r>
        <w:rPr>
          <w:spacing w:val="-4"/>
        </w:rPr>
        <w:t> </w:t>
      </w:r>
      <w:r>
        <w:rPr/>
        <w:t>digital</w:t>
      </w:r>
      <w:r>
        <w:rPr>
          <w:spacing w:val="-2"/>
        </w:rPr>
        <w:t> </w:t>
      </w:r>
      <w:r>
        <w:rPr/>
        <w:t>platforms.</w:t>
      </w:r>
    </w:p>
    <w:p>
      <w:pPr>
        <w:pStyle w:val="Heading1"/>
        <w:spacing w:before="95"/>
        <w:ind w:left="225"/>
      </w:pPr>
      <w:r>
        <w:rPr>
          <w:b w:val="0"/>
        </w:rPr>
        <w:br w:type="column"/>
      </w:r>
      <w:r>
        <w:rPr>
          <w:color w:val="BF5A14"/>
        </w:rPr>
        <w:t>Image</w:t>
      </w:r>
    </w:p>
    <w:p>
      <w:pPr>
        <w:pStyle w:val="BodyText"/>
        <w:ind w:left="172"/>
        <w:rPr>
          <w:rFonts w:ascii="Arial"/>
          <w:sz w:val="20"/>
        </w:rPr>
      </w:pPr>
      <w:r>
        <w:rPr>
          <w:rFonts w:ascii="Arial"/>
          <w:sz w:val="20"/>
        </w:rPr>
        <w:drawing>
          <wp:inline distT="0" distB="0" distL="0" distR="0">
            <wp:extent cx="3312912" cy="2011679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2912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/>
          <w:sz w:val="20"/>
        </w:rPr>
      </w:r>
    </w:p>
    <w:p>
      <w:pPr>
        <w:pStyle w:val="BodyText"/>
        <w:spacing w:before="5"/>
        <w:ind w:left="0"/>
        <w:rPr>
          <w:rFonts w:ascii="Arial"/>
          <w:b/>
          <w:sz w:val="25"/>
        </w:rPr>
      </w:pPr>
    </w:p>
    <w:p>
      <w:pPr>
        <w:spacing w:before="0"/>
        <w:ind w:left="125" w:right="0" w:firstLine="0"/>
        <w:jc w:val="lef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</w:t>
      </w:r>
      <w:r>
        <w:rPr>
          <w:rFonts w:ascii="Arial"/>
          <w:b/>
          <w:color w:val="BF5A14"/>
          <w:spacing w:val="-3"/>
          <w:sz w:val="20"/>
        </w:rPr>
        <w:t> </w:t>
      </w:r>
      <w:r>
        <w:rPr>
          <w:rFonts w:ascii="Arial"/>
          <w:b/>
          <w:color w:val="BF5A14"/>
          <w:sz w:val="20"/>
        </w:rPr>
        <w:t>Publications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35" w:lineRule="auto" w:before="107" w:after="0"/>
        <w:ind w:left="508" w:right="246" w:hanging="283"/>
        <w:jc w:val="both"/>
        <w:rPr>
          <w:sz w:val="18"/>
        </w:rPr>
      </w:pPr>
      <w:r>
        <w:rPr>
          <w:sz w:val="18"/>
        </w:rPr>
        <w:t>Sturm, Emily &amp; Mellinger, John &amp; Koehler, Jeanne &amp; Wall, Jarrod.</w:t>
      </w:r>
      <w:r>
        <w:rPr>
          <w:spacing w:val="1"/>
          <w:sz w:val="18"/>
        </w:rPr>
        <w:t> </w:t>
      </w:r>
      <w:r>
        <w:rPr>
          <w:sz w:val="18"/>
        </w:rPr>
        <w:t>(2019).</w:t>
      </w:r>
      <w:r>
        <w:rPr>
          <w:spacing w:val="1"/>
          <w:sz w:val="18"/>
        </w:rPr>
        <w:t> </w:t>
      </w:r>
      <w:r>
        <w:rPr>
          <w:sz w:val="18"/>
        </w:rPr>
        <w:t>An</w:t>
      </w:r>
      <w:r>
        <w:rPr>
          <w:spacing w:val="1"/>
          <w:sz w:val="18"/>
        </w:rPr>
        <w:t> </w:t>
      </w:r>
      <w:r>
        <w:rPr>
          <w:sz w:val="18"/>
        </w:rPr>
        <w:t>Appreciative</w:t>
      </w:r>
      <w:r>
        <w:rPr>
          <w:spacing w:val="1"/>
          <w:sz w:val="18"/>
        </w:rPr>
        <w:t> </w:t>
      </w:r>
      <w:r>
        <w:rPr>
          <w:sz w:val="18"/>
        </w:rPr>
        <w:t>Inquiry</w:t>
      </w:r>
      <w:r>
        <w:rPr>
          <w:spacing w:val="1"/>
          <w:sz w:val="18"/>
        </w:rPr>
        <w:t> </w:t>
      </w:r>
      <w:r>
        <w:rPr>
          <w:sz w:val="18"/>
        </w:rPr>
        <w:t>Approach</w:t>
      </w:r>
      <w:r>
        <w:rPr>
          <w:spacing w:val="1"/>
          <w:sz w:val="18"/>
        </w:rPr>
        <w:t> </w:t>
      </w:r>
      <w:r>
        <w:rPr>
          <w:sz w:val="18"/>
        </w:rPr>
        <w:t>to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Core</w:t>
      </w:r>
      <w:r>
        <w:rPr>
          <w:spacing w:val="1"/>
          <w:sz w:val="18"/>
        </w:rPr>
        <w:t> </w:t>
      </w:r>
      <w:r>
        <w:rPr>
          <w:sz w:val="18"/>
        </w:rPr>
        <w:t>Competencies:</w:t>
      </w:r>
      <w:r>
        <w:rPr>
          <w:spacing w:val="1"/>
          <w:sz w:val="18"/>
        </w:rPr>
        <w:t> </w:t>
      </w:r>
      <w:r>
        <w:rPr>
          <w:sz w:val="18"/>
        </w:rPr>
        <w:t>Taking</w:t>
      </w:r>
      <w:r>
        <w:rPr>
          <w:spacing w:val="1"/>
          <w:sz w:val="18"/>
        </w:rPr>
        <w:t> </w:t>
      </w:r>
      <w:r>
        <w:rPr>
          <w:sz w:val="18"/>
        </w:rPr>
        <w:t>it</w:t>
      </w:r>
      <w:r>
        <w:rPr>
          <w:spacing w:val="1"/>
          <w:sz w:val="18"/>
        </w:rPr>
        <w:t> </w:t>
      </w:r>
      <w:r>
        <w:rPr>
          <w:sz w:val="18"/>
        </w:rPr>
        <w:t>From</w:t>
      </w:r>
      <w:r>
        <w:rPr>
          <w:spacing w:val="1"/>
          <w:sz w:val="18"/>
        </w:rPr>
        <w:t> </w:t>
      </w:r>
      <w:r>
        <w:rPr>
          <w:sz w:val="18"/>
        </w:rPr>
        <w:t>Theory</w:t>
      </w:r>
      <w:r>
        <w:rPr>
          <w:spacing w:val="1"/>
          <w:sz w:val="18"/>
        </w:rPr>
        <w:t> </w:t>
      </w:r>
      <w:r>
        <w:rPr>
          <w:sz w:val="18"/>
        </w:rPr>
        <w:t>to</w:t>
      </w:r>
      <w:r>
        <w:rPr>
          <w:spacing w:val="1"/>
          <w:sz w:val="18"/>
        </w:rPr>
        <w:t> </w:t>
      </w:r>
      <w:r>
        <w:rPr>
          <w:sz w:val="18"/>
        </w:rPr>
        <w:t>Practice.</w:t>
      </w:r>
      <w:r>
        <w:rPr>
          <w:spacing w:val="1"/>
          <w:sz w:val="18"/>
        </w:rPr>
        <w:t> </w:t>
      </w:r>
      <w:r>
        <w:rPr>
          <w:sz w:val="18"/>
        </w:rPr>
        <w:t>Journal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Surgical</w:t>
      </w:r>
      <w:r>
        <w:rPr>
          <w:spacing w:val="-2"/>
          <w:sz w:val="18"/>
        </w:rPr>
        <w:t> </w:t>
      </w:r>
      <w:r>
        <w:rPr>
          <w:sz w:val="18"/>
        </w:rPr>
        <w:t>Education.</w:t>
      </w:r>
      <w:r>
        <w:rPr>
          <w:spacing w:val="-2"/>
          <w:sz w:val="18"/>
        </w:rPr>
        <w:t> </w:t>
      </w:r>
      <w:r>
        <w:rPr>
          <w:sz w:val="18"/>
        </w:rPr>
        <w:t>77.</w:t>
      </w:r>
      <w:r>
        <w:rPr>
          <w:spacing w:val="-2"/>
          <w:sz w:val="18"/>
        </w:rPr>
        <w:t> </w:t>
      </w:r>
      <w:r>
        <w:rPr>
          <w:sz w:val="18"/>
        </w:rPr>
        <w:t>10.1016/j.jsurg.2019.11.002.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35" w:lineRule="auto" w:before="94" w:after="0"/>
        <w:ind w:left="508" w:right="243" w:hanging="283"/>
        <w:jc w:val="both"/>
        <w:rPr>
          <w:sz w:val="18"/>
        </w:rPr>
      </w:pPr>
      <w:r>
        <w:rPr>
          <w:sz w:val="18"/>
        </w:rPr>
        <w:t>Koehler, Jeanne &amp; Sturm, Emily. (2018). The Surgical Workplace</w:t>
      </w:r>
      <w:r>
        <w:rPr>
          <w:spacing w:val="1"/>
          <w:sz w:val="18"/>
        </w:rPr>
        <w:t> </w:t>
      </w:r>
      <w:r>
        <w:rPr>
          <w:sz w:val="18"/>
        </w:rPr>
        <w:t>Learning</w:t>
      </w:r>
      <w:r>
        <w:rPr>
          <w:spacing w:val="1"/>
          <w:sz w:val="18"/>
        </w:rPr>
        <w:t> </w:t>
      </w:r>
      <w:r>
        <w:rPr>
          <w:sz w:val="18"/>
        </w:rPr>
        <w:t>Environment:</w:t>
      </w:r>
      <w:r>
        <w:rPr>
          <w:spacing w:val="1"/>
          <w:sz w:val="18"/>
        </w:rPr>
        <w:t> </w:t>
      </w:r>
      <w:r>
        <w:rPr>
          <w:sz w:val="18"/>
        </w:rPr>
        <w:t>Integrating</w:t>
      </w:r>
      <w:r>
        <w:rPr>
          <w:spacing w:val="1"/>
          <w:sz w:val="18"/>
        </w:rPr>
        <w:t> </w:t>
      </w:r>
      <w:r>
        <w:rPr>
          <w:sz w:val="18"/>
        </w:rPr>
        <w:t>Coaching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Mentoring.</w:t>
      </w:r>
      <w:r>
        <w:rPr>
          <w:spacing w:val="1"/>
          <w:sz w:val="18"/>
        </w:rPr>
        <w:t> </w:t>
      </w:r>
      <w:r>
        <w:rPr>
          <w:sz w:val="18"/>
        </w:rPr>
        <w:t>10.1007/978-3-319-64728-9_14.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37" w:lineRule="auto" w:before="91" w:after="0"/>
        <w:ind w:left="508" w:right="106" w:hanging="283"/>
        <w:jc w:val="both"/>
        <w:rPr>
          <w:sz w:val="18"/>
        </w:rPr>
      </w:pPr>
      <w:r>
        <w:rPr>
          <w:sz w:val="18"/>
        </w:rPr>
        <w:t>Istas, Kathryn &amp; Paolo, Anthony &amp; Berardo, Benito &amp; Bonaminio,</w:t>
      </w:r>
      <w:r>
        <w:rPr>
          <w:spacing w:val="1"/>
          <w:sz w:val="18"/>
        </w:rPr>
        <w:t> </w:t>
      </w:r>
      <w:r>
        <w:rPr>
          <w:sz w:val="18"/>
        </w:rPr>
        <w:t>Giulia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Fontes,</w:t>
      </w:r>
      <w:r>
        <w:rPr>
          <w:spacing w:val="1"/>
          <w:sz w:val="18"/>
        </w:rPr>
        <w:t> </w:t>
      </w:r>
      <w:r>
        <w:rPr>
          <w:sz w:val="18"/>
        </w:rPr>
        <w:t>Joseph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Walling,</w:t>
      </w:r>
      <w:r>
        <w:rPr>
          <w:spacing w:val="1"/>
          <w:sz w:val="18"/>
        </w:rPr>
        <w:t> </w:t>
      </w:r>
      <w:r>
        <w:rPr>
          <w:sz w:val="18"/>
        </w:rPr>
        <w:t>Anne</w:t>
      </w:r>
      <w:r>
        <w:rPr>
          <w:spacing w:val="1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Davis,</w:t>
      </w:r>
      <w:r>
        <w:rPr>
          <w:spacing w:val="1"/>
          <w:sz w:val="18"/>
        </w:rPr>
        <w:t> </w:t>
      </w:r>
      <w:r>
        <w:rPr>
          <w:sz w:val="18"/>
        </w:rPr>
        <w:t>Nancy</w:t>
      </w:r>
      <w:r>
        <w:rPr>
          <w:spacing w:val="40"/>
          <w:sz w:val="18"/>
        </w:rPr>
        <w:t> </w:t>
      </w:r>
      <w:r>
        <w:rPr>
          <w:sz w:val="18"/>
        </w:rPr>
        <w:t>&amp;</w:t>
      </w:r>
      <w:r>
        <w:rPr>
          <w:spacing w:val="1"/>
          <w:sz w:val="18"/>
        </w:rPr>
        <w:t> </w:t>
      </w:r>
      <w:r>
        <w:rPr>
          <w:sz w:val="18"/>
        </w:rPr>
        <w:t>Cianciolo, Anna &amp; Englander, Robert &amp; Koehler, Jeanne &amp; Lomis,</w:t>
      </w:r>
      <w:r>
        <w:rPr>
          <w:spacing w:val="1"/>
          <w:sz w:val="18"/>
        </w:rPr>
        <w:t> </w:t>
      </w:r>
      <w:r>
        <w:rPr>
          <w:sz w:val="18"/>
        </w:rPr>
        <w:t>Kimberly.</w:t>
      </w:r>
      <w:r>
        <w:rPr>
          <w:spacing w:val="1"/>
          <w:sz w:val="18"/>
        </w:rPr>
        <w:t> </w:t>
      </w:r>
      <w:r>
        <w:rPr>
          <w:sz w:val="18"/>
        </w:rPr>
        <w:t>(2016).</w:t>
      </w:r>
      <w:r>
        <w:rPr>
          <w:spacing w:val="1"/>
          <w:sz w:val="18"/>
        </w:rPr>
        <w:t> </w:t>
      </w:r>
      <w:r>
        <w:rPr>
          <w:sz w:val="18"/>
        </w:rPr>
        <w:t>On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Origins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Perceptions:</w:t>
      </w:r>
      <w:r>
        <w:rPr>
          <w:spacing w:val="1"/>
          <w:sz w:val="18"/>
        </w:rPr>
        <w:t> </w:t>
      </w:r>
      <w:r>
        <w:rPr>
          <w:sz w:val="18"/>
        </w:rPr>
        <w:t>Student</w:t>
      </w:r>
      <w:r>
        <w:rPr>
          <w:spacing w:val="1"/>
          <w:sz w:val="18"/>
        </w:rPr>
        <w:t> </w:t>
      </w:r>
      <w:r>
        <w:rPr>
          <w:sz w:val="18"/>
        </w:rPr>
        <w:t>Perceptions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Active</w:t>
      </w:r>
      <w:r>
        <w:rPr>
          <w:spacing w:val="1"/>
          <w:sz w:val="18"/>
        </w:rPr>
        <w:t> </w:t>
      </w:r>
      <w:r>
        <w:rPr>
          <w:sz w:val="18"/>
        </w:rPr>
        <w:t>Learning</w:t>
      </w:r>
      <w:r>
        <w:rPr>
          <w:spacing w:val="1"/>
          <w:sz w:val="18"/>
        </w:rPr>
        <w:t> </w:t>
      </w:r>
      <w:r>
        <w:rPr>
          <w:sz w:val="18"/>
        </w:rPr>
        <w:t>and</w:t>
      </w:r>
      <w:r>
        <w:rPr>
          <w:spacing w:val="1"/>
          <w:sz w:val="18"/>
        </w:rPr>
        <w:t> </w:t>
      </w:r>
      <w:r>
        <w:rPr>
          <w:sz w:val="18"/>
        </w:rPr>
        <w:t>Their</w:t>
      </w:r>
      <w:r>
        <w:rPr>
          <w:spacing w:val="1"/>
          <w:sz w:val="18"/>
        </w:rPr>
        <w:t> </w:t>
      </w:r>
      <w:r>
        <w:rPr>
          <w:sz w:val="18"/>
        </w:rPr>
        <w:t>Implications</w:t>
      </w:r>
      <w:r>
        <w:rPr>
          <w:spacing w:val="1"/>
          <w:sz w:val="18"/>
        </w:rPr>
        <w:t> </w:t>
      </w:r>
      <w:r>
        <w:rPr>
          <w:sz w:val="18"/>
        </w:rPr>
        <w:t>for</w:t>
      </w:r>
      <w:r>
        <w:rPr>
          <w:spacing w:val="1"/>
          <w:sz w:val="18"/>
        </w:rPr>
        <w:t> </w:t>
      </w:r>
      <w:r>
        <w:rPr>
          <w:sz w:val="18"/>
        </w:rPr>
        <w:t>Educational Reform. Teaching and Learning in Medicine. 28. 362-</w:t>
      </w:r>
      <w:r>
        <w:rPr>
          <w:spacing w:val="1"/>
          <w:sz w:val="18"/>
        </w:rPr>
        <w:t> </w:t>
      </w:r>
      <w:r>
        <w:rPr>
          <w:sz w:val="18"/>
        </w:rPr>
        <w:t>366.</w:t>
      </w:r>
      <w:r>
        <w:rPr>
          <w:spacing w:val="-2"/>
          <w:sz w:val="18"/>
        </w:rPr>
        <w:t> </w:t>
      </w:r>
      <w:r>
        <w:rPr>
          <w:sz w:val="18"/>
        </w:rPr>
        <w:t>10.1080/10401334.2016.1217224.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37" w:lineRule="auto" w:before="100" w:after="0"/>
        <w:ind w:left="508" w:right="107" w:hanging="283"/>
        <w:jc w:val="both"/>
        <w:rPr>
          <w:sz w:val="18"/>
        </w:rPr>
      </w:pPr>
      <w:r>
        <w:rPr>
          <w:sz w:val="18"/>
        </w:rPr>
        <w:t>Sturm, Emily &amp; Mellinger, John &amp; Koehler, Jeanne &amp; Wall, Jarrod.</w:t>
      </w:r>
      <w:r>
        <w:rPr>
          <w:spacing w:val="1"/>
          <w:sz w:val="18"/>
        </w:rPr>
        <w:t> </w:t>
      </w:r>
      <w:r>
        <w:rPr>
          <w:sz w:val="18"/>
        </w:rPr>
        <w:t>(2017).</w:t>
      </w:r>
      <w:r>
        <w:rPr>
          <w:spacing w:val="1"/>
          <w:sz w:val="18"/>
        </w:rPr>
        <w:t> </w:t>
      </w:r>
      <w:r>
        <w:rPr>
          <w:sz w:val="18"/>
        </w:rPr>
        <w:t>An</w:t>
      </w:r>
      <w:r>
        <w:rPr>
          <w:spacing w:val="1"/>
          <w:sz w:val="18"/>
        </w:rPr>
        <w:t> </w:t>
      </w:r>
      <w:r>
        <w:rPr>
          <w:sz w:val="18"/>
        </w:rPr>
        <w:t>Appreciative</w:t>
      </w:r>
      <w:r>
        <w:rPr>
          <w:spacing w:val="1"/>
          <w:sz w:val="18"/>
        </w:rPr>
        <w:t> </w:t>
      </w:r>
      <w:r>
        <w:rPr>
          <w:sz w:val="18"/>
        </w:rPr>
        <w:t>Inquiry</w:t>
      </w:r>
      <w:r>
        <w:rPr>
          <w:spacing w:val="1"/>
          <w:sz w:val="18"/>
        </w:rPr>
        <w:t> </w:t>
      </w:r>
      <w:r>
        <w:rPr>
          <w:sz w:val="18"/>
        </w:rPr>
        <w:t>Approach</w:t>
      </w:r>
      <w:r>
        <w:rPr>
          <w:spacing w:val="1"/>
          <w:sz w:val="18"/>
        </w:rPr>
        <w:t> </w:t>
      </w:r>
      <w:r>
        <w:rPr>
          <w:sz w:val="18"/>
        </w:rPr>
        <w:t>to</w:t>
      </w:r>
      <w:r>
        <w:rPr>
          <w:spacing w:val="1"/>
          <w:sz w:val="18"/>
        </w:rPr>
        <w:t> </w:t>
      </w:r>
      <w:r>
        <w:rPr>
          <w:sz w:val="18"/>
        </w:rPr>
        <w:t>the</w:t>
      </w:r>
      <w:r>
        <w:rPr>
          <w:spacing w:val="1"/>
          <w:sz w:val="18"/>
        </w:rPr>
        <w:t> </w:t>
      </w:r>
      <w:r>
        <w:rPr>
          <w:sz w:val="18"/>
        </w:rPr>
        <w:t>Core</w:t>
      </w:r>
      <w:r>
        <w:rPr>
          <w:spacing w:val="1"/>
          <w:sz w:val="18"/>
        </w:rPr>
        <w:t> </w:t>
      </w:r>
      <w:r>
        <w:rPr>
          <w:sz w:val="18"/>
        </w:rPr>
        <w:t>Competencies: Taking It from Theory to Practice. Journal of the</w:t>
      </w:r>
      <w:r>
        <w:rPr>
          <w:spacing w:val="1"/>
          <w:sz w:val="18"/>
        </w:rPr>
        <w:t> </w:t>
      </w:r>
      <w:r>
        <w:rPr>
          <w:sz w:val="18"/>
        </w:rPr>
        <w:t>American</w:t>
      </w:r>
      <w:r>
        <w:rPr>
          <w:spacing w:val="1"/>
          <w:sz w:val="18"/>
        </w:rPr>
        <w:t> </w:t>
      </w:r>
      <w:r>
        <w:rPr>
          <w:sz w:val="18"/>
        </w:rPr>
        <w:t>College</w:t>
      </w:r>
      <w:r>
        <w:rPr>
          <w:spacing w:val="1"/>
          <w:sz w:val="18"/>
        </w:rPr>
        <w:t> </w:t>
      </w:r>
      <w:r>
        <w:rPr>
          <w:sz w:val="18"/>
        </w:rPr>
        <w:t>of</w:t>
      </w:r>
      <w:r>
        <w:rPr>
          <w:spacing w:val="1"/>
          <w:sz w:val="18"/>
        </w:rPr>
        <w:t> </w:t>
      </w:r>
      <w:r>
        <w:rPr>
          <w:sz w:val="18"/>
        </w:rPr>
        <w:t>Surgeons.</w:t>
      </w:r>
      <w:r>
        <w:rPr>
          <w:spacing w:val="1"/>
          <w:sz w:val="18"/>
        </w:rPr>
        <w:t> </w:t>
      </w:r>
      <w:r>
        <w:rPr>
          <w:sz w:val="18"/>
        </w:rPr>
        <w:t>225.</w:t>
      </w:r>
      <w:r>
        <w:rPr>
          <w:spacing w:val="1"/>
          <w:sz w:val="18"/>
        </w:rPr>
        <w:t> </w:t>
      </w:r>
      <w:r>
        <w:rPr>
          <w:sz w:val="18"/>
        </w:rPr>
        <w:t>S170-S171.</w:t>
      </w:r>
      <w:r>
        <w:rPr>
          <w:spacing w:val="1"/>
          <w:sz w:val="18"/>
        </w:rPr>
        <w:t> </w:t>
      </w:r>
      <w:r>
        <w:rPr>
          <w:sz w:val="18"/>
        </w:rPr>
        <w:t>10.1016/j.jamcollsurg.2017.07.386.</w:t>
      </w:r>
    </w:p>
    <w:p>
      <w:pPr>
        <w:pStyle w:val="ListParagraph"/>
        <w:numPr>
          <w:ilvl w:val="0"/>
          <w:numId w:val="1"/>
        </w:numPr>
        <w:tabs>
          <w:tab w:pos="509" w:val="left" w:leader="none"/>
        </w:tabs>
        <w:spacing w:line="235" w:lineRule="auto" w:before="92" w:after="0"/>
        <w:ind w:left="508" w:right="106" w:hanging="283"/>
        <w:jc w:val="both"/>
        <w:rPr>
          <w:sz w:val="18"/>
        </w:rPr>
      </w:pPr>
      <w:r>
        <w:rPr>
          <w:sz w:val="18"/>
        </w:rPr>
        <w:t>Irwin, Edwin &amp; Guest, Robert &amp; Rahman, Moin. (2016). Risk for First</w:t>
      </w:r>
      <w:r>
        <w:rPr>
          <w:spacing w:val="-38"/>
          <w:sz w:val="18"/>
        </w:rPr>
        <w:t> </w:t>
      </w:r>
      <w:r>
        <w:rPr>
          <w:sz w:val="18"/>
        </w:rPr>
        <w:t>Responders Due to Cognitive Workload and Communication Loss.</w:t>
      </w:r>
      <w:r>
        <w:rPr>
          <w:spacing w:val="1"/>
          <w:sz w:val="18"/>
        </w:rPr>
        <w:t> </w:t>
      </w:r>
      <w:r>
        <w:rPr>
          <w:sz w:val="18"/>
        </w:rPr>
        <w:t>10.1007/978-3-319-41929-9_28.</w:t>
      </w:r>
    </w:p>
    <w:p>
      <w:pPr>
        <w:spacing w:after="0" w:line="235" w:lineRule="auto"/>
        <w:jc w:val="both"/>
        <w:rPr>
          <w:sz w:val="18"/>
        </w:rPr>
        <w:sectPr>
          <w:type w:val="continuous"/>
          <w:pgSz w:w="11900" w:h="16840"/>
          <w:pgMar w:top="1600" w:bottom="280" w:left="500" w:right="480"/>
          <w:cols w:num="2" w:equalWidth="0">
            <w:col w:w="5306" w:space="40"/>
            <w:col w:w="5574"/>
          </w:cols>
        </w:sectPr>
      </w:pPr>
    </w:p>
    <w:p>
      <w:pPr>
        <w:pStyle w:val="Heading1"/>
        <w:tabs>
          <w:tab w:pos="2343" w:val="left" w:leader="none"/>
          <w:tab w:pos="8564" w:val="left" w:leader="none"/>
        </w:tabs>
        <w:spacing w:before="1"/>
        <w:ind w:left="887"/>
        <w:rPr>
          <w:rFonts w:ascii="Times New Roman"/>
          <w:b w:val="0"/>
        </w:rPr>
      </w:pPr>
      <w:r>
        <w:rPr>
          <w:rFonts w:ascii="Calibri"/>
        </w:rPr>
        <w:t>Photograph</w:t>
        <w:tab/>
      </w:r>
      <w:r>
        <w:rPr>
          <w:rFonts w:ascii="Times New Roman"/>
          <w:b w:val="0"/>
          <w:w w:val="100"/>
          <w:u w:val="thick" w:color="004080"/>
        </w:rPr>
        <w:t> </w:t>
      </w:r>
      <w:r>
        <w:rPr>
          <w:rFonts w:ascii="Times New Roman"/>
          <w:b w:val="0"/>
          <w:u w:val="thick" w:color="004080"/>
        </w:rPr>
        <w:tab/>
      </w:r>
    </w:p>
    <w:p>
      <w:pPr>
        <w:spacing w:before="134"/>
        <w:ind w:left="2274" w:right="0" w:firstLine="0"/>
        <w:jc w:val="left"/>
        <w:rPr>
          <w:rFonts w:ascii="Arial MT"/>
          <w:sz w:val="22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395603</wp:posOffset>
            </wp:positionH>
            <wp:positionV relativeFrom="paragraph">
              <wp:posOffset>62967</wp:posOffset>
            </wp:positionV>
            <wp:extent cx="705484" cy="949324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484" cy="9493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MT"/>
          <w:color w:val="BF5A14"/>
          <w:sz w:val="22"/>
        </w:rPr>
        <w:t>Biography</w:t>
      </w:r>
    </w:p>
    <w:p>
      <w:pPr>
        <w:spacing w:line="228" w:lineRule="auto" w:before="40"/>
        <w:ind w:left="1424" w:right="336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As</w:t>
      </w:r>
      <w:r>
        <w:rPr>
          <w:rFonts w:ascii="Arial MT"/>
          <w:spacing w:val="4"/>
          <w:sz w:val="14"/>
        </w:rPr>
        <w:t> </w:t>
      </w:r>
      <w:r>
        <w:rPr>
          <w:rFonts w:ascii="Arial MT"/>
          <w:sz w:val="14"/>
        </w:rPr>
        <w:t>an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Enterprise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Research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analyst,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Arianna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Andino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has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expertise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in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4"/>
          <w:sz w:val="14"/>
        </w:rPr>
        <w:t> </w:t>
      </w:r>
      <w:r>
        <w:rPr>
          <w:rFonts w:ascii="Arial MT"/>
          <w:sz w:val="14"/>
        </w:rPr>
        <w:t>research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process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data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analysis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of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several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different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areas,</w:t>
      </w:r>
      <w:r>
        <w:rPr>
          <w:rFonts w:ascii="Arial MT"/>
          <w:spacing w:val="5"/>
          <w:sz w:val="14"/>
        </w:rPr>
        <w:t> </w:t>
      </w:r>
      <w:r>
        <w:rPr>
          <w:rFonts w:ascii="Arial MT"/>
          <w:sz w:val="14"/>
        </w:rPr>
        <w:t>particularly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in the tele-mental health axis. With a mixed-method approach, she has a passion for the examination of the function and landscape of digital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technology in mental health management and treatment. Based on an extensive literature review, she has built a digital mental health and well-</w:t>
      </w:r>
      <w:r>
        <w:rPr>
          <w:rFonts w:ascii="Arial MT"/>
          <w:spacing w:val="1"/>
          <w:sz w:val="14"/>
        </w:rPr>
        <w:t> </w:t>
      </w:r>
      <w:r>
        <w:rPr>
          <w:rFonts w:ascii="Arial MT"/>
          <w:sz w:val="14"/>
        </w:rPr>
        <w:t>being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ecosystem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that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serves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as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a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framework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to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understand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the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emerging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connection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between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mental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health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digital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platforms</w:t>
      </w:r>
      <w:r>
        <w:rPr>
          <w:rFonts w:ascii="Arial MT"/>
          <w:spacing w:val="-2"/>
          <w:sz w:val="14"/>
        </w:rPr>
        <w:t> </w:t>
      </w:r>
      <w:r>
        <w:rPr>
          <w:rFonts w:ascii="Arial MT"/>
          <w:sz w:val="14"/>
        </w:rPr>
        <w:t>and</w:t>
      </w:r>
      <w:r>
        <w:rPr>
          <w:rFonts w:ascii="Arial MT"/>
          <w:spacing w:val="-1"/>
          <w:sz w:val="14"/>
        </w:rPr>
        <w:t> </w:t>
      </w:r>
      <w:r>
        <w:rPr>
          <w:rFonts w:ascii="Arial MT"/>
          <w:sz w:val="14"/>
        </w:rPr>
        <w:t>services.</w:t>
      </w:r>
    </w:p>
    <w:p>
      <w:pPr>
        <w:spacing w:before="68"/>
        <w:ind w:left="4507" w:right="0" w:firstLine="0"/>
        <w:jc w:val="both"/>
        <w:rPr>
          <w:rFonts w:ascii="Arial MT"/>
          <w:sz w:val="14"/>
        </w:rPr>
      </w:pPr>
      <w:r>
        <w:rPr>
          <w:rFonts w:ascii="Arial MT"/>
          <w:sz w:val="14"/>
        </w:rPr>
        <w:t>Email:</w:t>
      </w:r>
      <w:r>
        <w:rPr>
          <w:rFonts w:ascii="Arial MT"/>
          <w:spacing w:val="-5"/>
          <w:sz w:val="14"/>
        </w:rPr>
        <w:t> </w:t>
      </w:r>
      <w:hyperlink r:id="rId7">
        <w:r>
          <w:rPr>
            <w:rFonts w:ascii="Arial MT"/>
            <w:color w:val="0000FF"/>
            <w:sz w:val="14"/>
            <w:u w:val="single" w:color="0000FF"/>
          </w:rPr>
          <w:t>aandinop@hotmail.com</w:t>
        </w:r>
      </w:hyperlink>
    </w:p>
    <w:p>
      <w:pPr>
        <w:pStyle w:val="BodyText"/>
        <w:spacing w:before="2"/>
        <w:ind w:left="0"/>
        <w:rPr>
          <w:rFonts w:ascii="Arial MT"/>
          <w:sz w:val="19"/>
        </w:rPr>
      </w:pPr>
      <w:r>
        <w:rPr/>
        <w:pict>
          <v:shape style="position:absolute;margin-left:162.100098pt;margin-top:13.224072pt;width:271.05pt;height:.1pt;mso-position-horizontal-relative:page;mso-position-vertical-relative:paragraph;z-index:-15728640;mso-wrap-distance-left:0;mso-wrap-distance-right:0" coordorigin="3242,264" coordsize="5421,0" path="m3242,264l8663,264e" filled="false" stroked="true" strokeweight=".5pt" strokecolor="#004080">
            <v:path arrowok="t"/>
            <v:stroke dashstyle="solid"/>
            <w10:wrap type="topAndBottom"/>
          </v:shape>
        </w:pict>
      </w:r>
    </w:p>
    <w:p>
      <w:pPr>
        <w:spacing w:after="0"/>
        <w:rPr>
          <w:rFonts w:ascii="Arial MT"/>
          <w:sz w:val="19"/>
        </w:rPr>
        <w:sectPr>
          <w:type w:val="continuous"/>
          <w:pgSz w:w="11900" w:h="16840"/>
          <w:pgMar w:top="1600" w:bottom="280" w:left="500" w:right="480"/>
        </w:sectPr>
      </w:pPr>
    </w:p>
    <w:p>
      <w:pPr>
        <w:spacing w:before="146"/>
        <w:ind w:left="119" w:right="0" w:firstLine="0"/>
        <w:jc w:val="left"/>
        <w:rPr>
          <w:rFonts w:ascii="Cambria Math"/>
          <w:sz w:val="19"/>
        </w:rPr>
      </w:pPr>
      <w:r>
        <w:rPr>
          <w:rFonts w:ascii="Cambria Math"/>
          <w:w w:val="105"/>
          <w:sz w:val="19"/>
        </w:rPr>
        <w:t>Notes/Comments:</w:t>
      </w:r>
    </w:p>
    <w:sectPr>
      <w:pgSz w:w="11900" w:h="16840"/>
      <w:pgMar w:top="1600" w:bottom="280" w:left="500" w:right="4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Impact">
    <w:altName w:val="Impact"/>
    <w:charset w:val="1"/>
    <w:family w:val="swiss"/>
    <w:pitch w:val="variable"/>
  </w:font>
  <w:font w:name="Corbel">
    <w:altName w:val="Corbe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Cambria Math">
    <w:altName w:val="Cambria Math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Microsoft Sans Serif">
    <w:altName w:val="Microsoft Sans Serif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508" w:hanging="283"/>
        <w:jc w:val="left"/>
      </w:pPr>
      <w:rPr>
        <w:rFonts w:hint="default" w:ascii="Calibri" w:hAnsi="Calibri" w:eastAsia="Calibri" w:cs="Calibri"/>
        <w:spacing w:val="-18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07" w:hanging="28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14" w:hanging="28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22" w:hanging="28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29" w:hanging="28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37" w:hanging="28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44" w:hanging="28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052" w:hanging="28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559" w:hanging="28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icrosoft Sans Serif" w:hAnsi="Microsoft Sans Serif" w:eastAsia="Microsoft Sans Serif" w:cs="Microsoft Sans Serif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219"/>
    </w:pPr>
    <w:rPr>
      <w:rFonts w:ascii="Microsoft Sans Serif" w:hAnsi="Microsoft Sans Serif" w:eastAsia="Microsoft Sans Serif" w:cs="Microsoft Sans Serif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5"/>
      <w:outlineLvl w:val="1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09"/>
      <w:ind w:left="119"/>
    </w:pPr>
    <w:rPr>
      <w:rFonts w:ascii="Cambria Math" w:hAnsi="Cambria Math" w:eastAsia="Cambria Math" w:cs="Cambria Math"/>
      <w:sz w:val="35"/>
      <w:szCs w:val="35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1"/>
      <w:ind w:left="508" w:right="106" w:hanging="283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aandinop@hotmail.com" TargetMode="External"/><Relationship Id="rId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2023-02-20T07:22:04Z</dcterms:created>
  <dcterms:modified xsi:type="dcterms:W3CDTF">2023-02-20T07:22:04Z</dcterms:modified>
</cp:coreProperties>
</file>