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82F882" w14:textId="77777777" w:rsidR="002D1928" w:rsidRDefault="002D1928" w:rsidP="002D1928">
      <w:pPr>
        <w:spacing w:line="480" w:lineRule="auto"/>
        <w:jc w:val="center"/>
        <w:rPr>
          <w:rFonts w:asciiTheme="majorBidi" w:eastAsia="Times New Roman" w:hAnsiTheme="majorBidi" w:cs="Times New Roman"/>
          <w:sz w:val="32"/>
          <w:szCs w:val="32"/>
        </w:rPr>
      </w:pPr>
      <w:bookmarkStart w:id="0" w:name="_Hlk109569083"/>
      <w:bookmarkStart w:id="1" w:name="_Hlk91711067"/>
      <w:r>
        <w:rPr>
          <w:rFonts w:asciiTheme="majorBidi" w:eastAsia="Times New Roman" w:hAnsiTheme="majorBidi" w:cs="Times New Roman"/>
          <w:sz w:val="32"/>
          <w:szCs w:val="32"/>
        </w:rPr>
        <w:t>Citrus p</w:t>
      </w:r>
      <w:r w:rsidRPr="00C75527">
        <w:rPr>
          <w:rFonts w:asciiTheme="majorBidi" w:eastAsia="Times New Roman" w:hAnsiTheme="majorBidi" w:cs="Times New Roman"/>
          <w:sz w:val="32"/>
          <w:szCs w:val="32"/>
        </w:rPr>
        <w:t xml:space="preserve">yrolysis </w:t>
      </w:r>
      <w:r>
        <w:rPr>
          <w:rFonts w:asciiTheme="majorBidi" w:eastAsia="Times New Roman" w:hAnsiTheme="majorBidi" w:cs="Times New Roman"/>
          <w:sz w:val="32"/>
          <w:szCs w:val="32"/>
        </w:rPr>
        <w:t>t</w:t>
      </w:r>
      <w:r w:rsidRPr="00C75527">
        <w:rPr>
          <w:rFonts w:asciiTheme="majorBidi" w:eastAsia="Times New Roman" w:hAnsiTheme="majorBidi" w:cs="Times New Roman"/>
          <w:sz w:val="32"/>
          <w:szCs w:val="32"/>
        </w:rPr>
        <w:t xml:space="preserve">emperature </w:t>
      </w:r>
      <w:r>
        <w:rPr>
          <w:rFonts w:asciiTheme="majorBidi" w:eastAsia="Times New Roman" w:hAnsiTheme="majorBidi" w:cs="Times New Roman"/>
          <w:sz w:val="32"/>
          <w:szCs w:val="32"/>
        </w:rPr>
        <w:t>e</w:t>
      </w:r>
      <w:r w:rsidRPr="00C75527">
        <w:rPr>
          <w:rFonts w:asciiTheme="majorBidi" w:eastAsia="Times New Roman" w:hAnsiTheme="majorBidi" w:cs="Times New Roman"/>
          <w:sz w:val="32"/>
          <w:szCs w:val="32"/>
        </w:rPr>
        <w:t xml:space="preserve">ffect on wood vinegar </w:t>
      </w:r>
      <w:r>
        <w:rPr>
          <w:rFonts w:asciiTheme="majorBidi" w:eastAsia="Times New Roman" w:hAnsiTheme="majorBidi" w:cs="Times New Roman"/>
          <w:sz w:val="32"/>
          <w:szCs w:val="32"/>
        </w:rPr>
        <w:t>c</w:t>
      </w:r>
      <w:r w:rsidRPr="00C75527">
        <w:rPr>
          <w:rFonts w:asciiTheme="majorBidi" w:eastAsia="Times New Roman" w:hAnsiTheme="majorBidi" w:cs="Times New Roman"/>
          <w:sz w:val="32"/>
          <w:szCs w:val="32"/>
        </w:rPr>
        <w:t>haracteristics</w:t>
      </w:r>
      <w:bookmarkStart w:id="2" w:name="_GoBack"/>
      <w:bookmarkEnd w:id="2"/>
    </w:p>
    <w:bookmarkEnd w:id="0"/>
    <w:bookmarkEnd w:id="1"/>
    <w:p w14:paraId="6799E16B" w14:textId="1FE696F3" w:rsidR="00AE3E37" w:rsidRDefault="002D1928">
      <w:pPr>
        <w:pStyle w:val="BodyText"/>
        <w:rPr>
          <w:rFonts w:ascii="Arial"/>
          <w:sz w:val="20"/>
        </w:rPr>
      </w:pPr>
      <w:proofErr w:type="spellStart"/>
      <w:r>
        <w:rPr>
          <w:rFonts w:asciiTheme="majorBidi" w:eastAsia="Times New Roman" w:hAnsiTheme="majorBidi" w:cs="Times New Roman"/>
          <w:sz w:val="20"/>
          <w:szCs w:val="20"/>
        </w:rPr>
        <w:t>Etty</w:t>
      </w:r>
      <w:proofErr w:type="spellEnd"/>
      <w:r>
        <w:rPr>
          <w:rFonts w:asciiTheme="majorBidi" w:eastAsia="Times New Roman" w:hAnsiTheme="majorBidi" w:cs="Times New Roman"/>
          <w:sz w:val="20"/>
          <w:szCs w:val="20"/>
        </w:rPr>
        <w:t xml:space="preserve"> </w:t>
      </w:r>
      <w:proofErr w:type="spellStart"/>
      <w:r>
        <w:rPr>
          <w:rFonts w:asciiTheme="majorBidi" w:eastAsia="Times New Roman" w:hAnsiTheme="majorBidi" w:cs="Times New Roman"/>
          <w:sz w:val="20"/>
          <w:szCs w:val="20"/>
        </w:rPr>
        <w:t>Ankona</w:t>
      </w:r>
      <w:proofErr w:type="spellEnd"/>
      <w:r>
        <w:rPr>
          <w:rFonts w:asciiTheme="majorBidi" w:eastAsia="Times New Roman" w:hAnsiTheme="majorBidi" w:cs="Times New Roman"/>
          <w:sz w:val="20"/>
          <w:szCs w:val="20"/>
        </w:rPr>
        <w:t xml:space="preserve">, </w:t>
      </w:r>
      <w:r w:rsidRPr="00A34DFC">
        <w:rPr>
          <w:rFonts w:asciiTheme="majorBidi" w:eastAsia="Times New Roman" w:hAnsiTheme="majorBidi" w:cs="Times New Roman"/>
          <w:sz w:val="20"/>
          <w:szCs w:val="20"/>
        </w:rPr>
        <w:t>Department of Chemical Engineering, Ariel University 4, Ariel, Israel</w:t>
      </w:r>
    </w:p>
    <w:p w14:paraId="7963C96B" w14:textId="77777777" w:rsidR="00AE3E37" w:rsidRDefault="00AE3E37">
      <w:pPr>
        <w:rPr>
          <w:rFonts w:ascii="Arial"/>
          <w:sz w:val="21"/>
        </w:rPr>
      </w:pPr>
    </w:p>
    <w:p w14:paraId="1569AA5A" w14:textId="6C399DB3" w:rsidR="002D1928" w:rsidRDefault="002D1928">
      <w:pPr>
        <w:rPr>
          <w:rFonts w:ascii="Arial"/>
          <w:sz w:val="21"/>
        </w:rPr>
        <w:sectPr w:rsidR="002D1928" w:rsidSect="008E5477">
          <w:footerReference w:type="default" r:id="rId8"/>
          <w:type w:val="continuous"/>
          <w:pgSz w:w="11910" w:h="16840"/>
          <w:pgMar w:top="995" w:right="600" w:bottom="840" w:left="620" w:header="0" w:footer="0" w:gutter="0"/>
          <w:cols w:space="720"/>
          <w:docGrid w:linePitch="299"/>
        </w:sectPr>
      </w:pPr>
    </w:p>
    <w:p w14:paraId="11B9086E" w14:textId="78E57500" w:rsidR="00AE3E37" w:rsidRDefault="00A9710C" w:rsidP="00F424A3">
      <w:pPr>
        <w:pStyle w:val="Heading3"/>
        <w:spacing w:before="147"/>
        <w:jc w:val="both"/>
      </w:pPr>
      <w:r>
        <w:rPr>
          <w:color w:val="BF5A14"/>
        </w:rPr>
        <w:lastRenderedPageBreak/>
        <w:t>Abstract</w:t>
      </w:r>
      <w:r w:rsidR="00404E5B">
        <w:rPr>
          <w:color w:val="BF5A14"/>
        </w:rPr>
        <w:t xml:space="preserve"> </w:t>
      </w:r>
    </w:p>
    <w:p w14:paraId="6669D432" w14:textId="77777777" w:rsidR="00F424A3" w:rsidRPr="00F424A3" w:rsidRDefault="00F424A3" w:rsidP="00F424A3">
      <w:pPr>
        <w:pStyle w:val="Heading3"/>
        <w:spacing w:before="74"/>
        <w:rPr>
          <w:rFonts w:ascii="Tw Cen MT" w:eastAsia="Tw Cen MT" w:hAnsi="Tw Cen MT" w:cs="Tw Cen MT"/>
          <w:b w:val="0"/>
          <w:bCs w:val="0"/>
          <w:sz w:val="18"/>
          <w:szCs w:val="18"/>
        </w:rPr>
      </w:pPr>
      <w:r w:rsidRPr="00F424A3">
        <w:rPr>
          <w:rFonts w:ascii="Tw Cen MT" w:eastAsia="Tw Cen MT" w:hAnsi="Tw Cen MT" w:cs="Tw Cen MT"/>
          <w:b w:val="0"/>
          <w:bCs w:val="0"/>
          <w:sz w:val="18"/>
          <w:szCs w:val="18"/>
        </w:rPr>
        <w:t xml:space="preserve">Condense biomass pyrolysis smoke is a by-product known as wood vinegar, which was found to have a potential economic value owing to the active chemical compounds contained in it. The biomass pyrolysis process is characterized by four main kinetic stages with different properties of the gaseous compounds emitted at each stage. The hypothesis evaluated in this study is that each of the wood vinegar fractions, collected for the different kinetic stages, is distinct. wood vinegar was collected in four different temperature ranges: 110-170 </w:t>
      </w:r>
      <w:r w:rsidRPr="00F424A3">
        <w:rPr>
          <w:rFonts w:ascii="Cambria Math" w:eastAsia="Tw Cen MT" w:hAnsi="Cambria Math" w:cs="Cambria Math"/>
          <w:b w:val="0"/>
          <w:bCs w:val="0"/>
          <w:sz w:val="18"/>
          <w:szCs w:val="18"/>
        </w:rPr>
        <w:t>℃</w:t>
      </w:r>
      <w:r w:rsidRPr="00F424A3">
        <w:rPr>
          <w:rFonts w:ascii="Tw Cen MT" w:eastAsia="Tw Cen MT" w:hAnsi="Tw Cen MT" w:cs="Tw Cen MT"/>
          <w:b w:val="0"/>
          <w:bCs w:val="0"/>
          <w:sz w:val="18"/>
          <w:szCs w:val="18"/>
        </w:rPr>
        <w:t xml:space="preserve"> (WV 1), 170-250</w:t>
      </w:r>
      <w:r w:rsidRPr="00F424A3">
        <w:rPr>
          <w:rFonts w:ascii="Cambria Math" w:eastAsia="Tw Cen MT" w:hAnsi="Cambria Math" w:cs="Cambria Math"/>
          <w:b w:val="0"/>
          <w:bCs w:val="0"/>
          <w:sz w:val="18"/>
          <w:szCs w:val="18"/>
        </w:rPr>
        <w:t>℃</w:t>
      </w:r>
      <w:r w:rsidRPr="00F424A3">
        <w:rPr>
          <w:rFonts w:ascii="Tw Cen MT" w:eastAsia="Tw Cen MT" w:hAnsi="Tw Cen MT" w:cs="Tw Cen MT"/>
          <w:b w:val="0"/>
          <w:bCs w:val="0"/>
          <w:sz w:val="18"/>
          <w:szCs w:val="18"/>
        </w:rPr>
        <w:t xml:space="preserve"> (WV 2), 250-350 </w:t>
      </w:r>
      <w:r w:rsidRPr="00F424A3">
        <w:rPr>
          <w:rFonts w:ascii="Cambria Math" w:eastAsia="Tw Cen MT" w:hAnsi="Cambria Math" w:cs="Cambria Math"/>
          <w:b w:val="0"/>
          <w:bCs w:val="0"/>
          <w:sz w:val="18"/>
          <w:szCs w:val="18"/>
        </w:rPr>
        <w:t>℃</w:t>
      </w:r>
      <w:r w:rsidRPr="00F424A3">
        <w:rPr>
          <w:rFonts w:ascii="Tw Cen MT" w:eastAsia="Tw Cen MT" w:hAnsi="Tw Cen MT" w:cs="Tw Cen MT"/>
          <w:b w:val="0"/>
          <w:bCs w:val="0"/>
          <w:sz w:val="18"/>
          <w:szCs w:val="18"/>
        </w:rPr>
        <w:t xml:space="preserve"> (WV 3) and 350-500</w:t>
      </w:r>
      <w:r w:rsidRPr="00F424A3">
        <w:rPr>
          <w:rFonts w:ascii="Cambria Math" w:eastAsia="Tw Cen MT" w:hAnsi="Cambria Math" w:cs="Cambria Math"/>
          <w:b w:val="0"/>
          <w:bCs w:val="0"/>
          <w:sz w:val="18"/>
          <w:szCs w:val="18"/>
        </w:rPr>
        <w:t>℃</w:t>
      </w:r>
      <w:r w:rsidRPr="00F424A3">
        <w:rPr>
          <w:rFonts w:ascii="Tw Cen MT" w:eastAsia="Tw Cen MT" w:hAnsi="Tw Cen MT" w:cs="Tw Cen MT"/>
          <w:b w:val="0"/>
          <w:bCs w:val="0"/>
          <w:sz w:val="18"/>
          <w:szCs w:val="18"/>
        </w:rPr>
        <w:t xml:space="preserve"> (WV4) and chemical properties of each fraction was studied. </w:t>
      </w:r>
    </w:p>
    <w:p w14:paraId="04FE8179" w14:textId="77777777" w:rsidR="00F424A3" w:rsidRPr="00F424A3" w:rsidRDefault="00F424A3" w:rsidP="00F424A3">
      <w:pPr>
        <w:pStyle w:val="Heading3"/>
        <w:spacing w:before="74"/>
        <w:rPr>
          <w:rFonts w:ascii="Tw Cen MT" w:eastAsia="Tw Cen MT" w:hAnsi="Tw Cen MT" w:cs="Tw Cen MT"/>
          <w:b w:val="0"/>
          <w:bCs w:val="0"/>
          <w:sz w:val="18"/>
          <w:szCs w:val="18"/>
        </w:rPr>
      </w:pPr>
      <w:r w:rsidRPr="00F424A3">
        <w:rPr>
          <w:rFonts w:ascii="Tw Cen MT" w:eastAsia="Tw Cen MT" w:hAnsi="Tw Cen MT" w:cs="Tw Cen MT"/>
          <w:b w:val="0"/>
          <w:bCs w:val="0"/>
          <w:sz w:val="18"/>
          <w:szCs w:val="18"/>
        </w:rPr>
        <w:t xml:space="preserve">The organic phase was analyzed by gas chromatography/mass spectrometry (GC-MS), which was confirmed using Fourier transform infrared (FTIR) spectroscopy and enhanced by nuclear magnetic resonance (NMR) spectroscopy. </w:t>
      </w:r>
    </w:p>
    <w:p w14:paraId="32B9A360" w14:textId="77777777" w:rsidR="00F424A3" w:rsidRPr="00F424A3" w:rsidRDefault="00F424A3" w:rsidP="00F424A3">
      <w:pPr>
        <w:pStyle w:val="Heading3"/>
        <w:spacing w:before="74"/>
        <w:rPr>
          <w:rFonts w:ascii="Tw Cen MT" w:eastAsia="Tw Cen MT" w:hAnsi="Tw Cen MT" w:cs="Tw Cen MT"/>
          <w:b w:val="0"/>
          <w:bCs w:val="0"/>
          <w:sz w:val="18"/>
          <w:szCs w:val="18"/>
        </w:rPr>
      </w:pPr>
      <w:r w:rsidRPr="00F424A3">
        <w:rPr>
          <w:rFonts w:ascii="Tw Cen MT" w:eastAsia="Tw Cen MT" w:hAnsi="Tw Cen MT" w:cs="Tw Cen MT"/>
          <w:b w:val="0"/>
          <w:bCs w:val="0"/>
          <w:sz w:val="18"/>
          <w:szCs w:val="18"/>
        </w:rPr>
        <w:t xml:space="preserve">GC-MS analysis results indicated that as the pyrolysis temperature increased more organic compounds were identified. </w:t>
      </w:r>
    </w:p>
    <w:p w14:paraId="455A06F3" w14:textId="16BD57FE" w:rsidR="00AE3E37" w:rsidRDefault="00F424A3" w:rsidP="00F424A3">
      <w:pPr>
        <w:pStyle w:val="Heading3"/>
        <w:spacing w:before="74"/>
      </w:pPr>
      <w:r w:rsidRPr="00F424A3">
        <w:rPr>
          <w:rFonts w:ascii="Tw Cen MT" w:eastAsia="Tw Cen MT" w:hAnsi="Tw Cen MT" w:cs="Tw Cen MT"/>
          <w:b w:val="0"/>
          <w:bCs w:val="0"/>
          <w:sz w:val="18"/>
          <w:szCs w:val="18"/>
        </w:rPr>
        <w:t xml:space="preserve">The identified organic compounds (especially in fractions WV4 and WV3) are known valuable compounds in the chemical industries, belonging to the groups of phenols, ketones, acids, alcohols, aldehydes, alkanes, aromatic hydrocarbons and nitrogenous compounds containing a significant number of furan derivatives, and in each of the fractions in particular, a high content of specific compounds was identified, which are widely used in the various chemical industries (19.6% </w:t>
      </w:r>
      <w:proofErr w:type="spellStart"/>
      <w:r w:rsidRPr="00F424A3">
        <w:rPr>
          <w:rFonts w:ascii="Tw Cen MT" w:eastAsia="Tw Cen MT" w:hAnsi="Tw Cen MT" w:cs="Tw Cen MT"/>
          <w:b w:val="0"/>
          <w:bCs w:val="0"/>
          <w:sz w:val="18"/>
          <w:szCs w:val="18"/>
        </w:rPr>
        <w:t>thioacetic</w:t>
      </w:r>
      <w:proofErr w:type="spellEnd"/>
      <w:r w:rsidRPr="00F424A3">
        <w:rPr>
          <w:rFonts w:ascii="Tw Cen MT" w:eastAsia="Tw Cen MT" w:hAnsi="Tw Cen MT" w:cs="Tw Cen MT"/>
          <w:b w:val="0"/>
          <w:bCs w:val="0"/>
          <w:sz w:val="18"/>
          <w:szCs w:val="18"/>
        </w:rPr>
        <w:t xml:space="preserve"> acid  and followed by 12.2% </w:t>
      </w:r>
      <w:proofErr w:type="spellStart"/>
      <w:r w:rsidRPr="00F424A3">
        <w:rPr>
          <w:rFonts w:ascii="Tw Cen MT" w:eastAsia="Tw Cen MT" w:hAnsi="Tw Cen MT" w:cs="Tw Cen MT"/>
          <w:b w:val="0"/>
          <w:bCs w:val="0"/>
          <w:sz w:val="18"/>
          <w:szCs w:val="18"/>
        </w:rPr>
        <w:t>syringol</w:t>
      </w:r>
      <w:proofErr w:type="spellEnd"/>
      <w:r w:rsidRPr="00F424A3">
        <w:rPr>
          <w:rFonts w:ascii="Tw Cen MT" w:eastAsia="Tw Cen MT" w:hAnsi="Tw Cen MT" w:cs="Tw Cen MT"/>
          <w:b w:val="0"/>
          <w:bCs w:val="0"/>
          <w:sz w:val="18"/>
          <w:szCs w:val="18"/>
        </w:rPr>
        <w:t xml:space="preserve"> in WV4, 10.5% </w:t>
      </w:r>
      <w:proofErr w:type="spellStart"/>
      <w:r w:rsidRPr="00F424A3">
        <w:rPr>
          <w:rFonts w:ascii="Tw Cen MT" w:eastAsia="Tw Cen MT" w:hAnsi="Tw Cen MT" w:cs="Tw Cen MT"/>
          <w:b w:val="0"/>
          <w:bCs w:val="0"/>
          <w:sz w:val="18"/>
          <w:szCs w:val="18"/>
        </w:rPr>
        <w:t>syringol</w:t>
      </w:r>
      <w:proofErr w:type="spellEnd"/>
      <w:r w:rsidRPr="00F424A3">
        <w:rPr>
          <w:rFonts w:ascii="Tw Cen MT" w:eastAsia="Tw Cen MT" w:hAnsi="Tw Cen MT" w:cs="Tw Cen MT"/>
          <w:b w:val="0"/>
          <w:bCs w:val="0"/>
          <w:sz w:val="18"/>
          <w:szCs w:val="18"/>
        </w:rPr>
        <w:t xml:space="preserve"> in WV3, 34.6 </w:t>
      </w:r>
      <w:proofErr w:type="spellStart"/>
      <w:r w:rsidRPr="00F424A3">
        <w:rPr>
          <w:rFonts w:ascii="Tw Cen MT" w:eastAsia="Tw Cen MT" w:hAnsi="Tw Cen MT" w:cs="Tw Cen MT"/>
          <w:b w:val="0"/>
          <w:bCs w:val="0"/>
          <w:sz w:val="18"/>
          <w:szCs w:val="18"/>
        </w:rPr>
        <w:t>methylacetoin</w:t>
      </w:r>
      <w:proofErr w:type="spellEnd"/>
      <w:r w:rsidRPr="00F424A3">
        <w:rPr>
          <w:rFonts w:ascii="Tw Cen MT" w:eastAsia="Tw Cen MT" w:hAnsi="Tw Cen MT" w:cs="Tw Cen MT"/>
          <w:b w:val="0"/>
          <w:bCs w:val="0"/>
          <w:sz w:val="18"/>
          <w:szCs w:val="18"/>
        </w:rPr>
        <w:t xml:space="preserve"> in WV2 and 97.2 </w:t>
      </w:r>
      <w:proofErr w:type="spellStart"/>
      <w:r w:rsidRPr="00F424A3">
        <w:rPr>
          <w:rFonts w:ascii="Tw Cen MT" w:eastAsia="Tw Cen MT" w:hAnsi="Tw Cen MT" w:cs="Tw Cen MT"/>
          <w:b w:val="0"/>
          <w:bCs w:val="0"/>
          <w:sz w:val="18"/>
          <w:szCs w:val="18"/>
        </w:rPr>
        <w:t>methylacetoin</w:t>
      </w:r>
      <w:proofErr w:type="spellEnd"/>
      <w:r w:rsidRPr="00F424A3">
        <w:rPr>
          <w:rFonts w:ascii="Tw Cen MT" w:eastAsia="Tw Cen MT" w:hAnsi="Tw Cen MT" w:cs="Tw Cen MT"/>
          <w:b w:val="0"/>
          <w:bCs w:val="0"/>
          <w:sz w:val="18"/>
          <w:szCs w:val="18"/>
        </w:rPr>
        <w:t xml:space="preserve"> in WV1). The research results contribute to the selection of the suitability of the wood vinegar fractions obtained from citrus pyrolysis in the charcoal production process for a specific application in sustainable agriculture (fertilizer, weed control, pest control, etc.) or for a specific treatment to extract valuable compounds in various chemical industries while utilizing biomass waste for resources vital.</w:t>
      </w:r>
      <w:r w:rsidR="00A9710C">
        <w:rPr>
          <w:b w:val="0"/>
        </w:rPr>
        <w:br w:type="column"/>
      </w:r>
      <w:r w:rsidR="00A9710C">
        <w:rPr>
          <w:color w:val="BF5A14"/>
        </w:rPr>
        <w:lastRenderedPageBreak/>
        <w:t>Image</w:t>
      </w:r>
    </w:p>
    <w:p w14:paraId="29C962AF" w14:textId="21CF87F1" w:rsidR="00AE3E37" w:rsidRDefault="00F424A3">
      <w:pPr>
        <w:pStyle w:val="BodyText"/>
        <w:spacing w:before="2"/>
        <w:rPr>
          <w:rFonts w:ascii="Arial"/>
          <w:b/>
          <w:sz w:val="16"/>
        </w:rPr>
      </w:pPr>
      <w:r>
        <w:rPr>
          <w:rFonts w:ascii="Arial"/>
          <w:b/>
          <w:noProof/>
          <w:sz w:val="16"/>
          <w:lang w:val="en-IN" w:eastAsia="en-IN"/>
        </w:rPr>
        <w:drawing>
          <wp:inline distT="0" distB="0" distL="0" distR="0" wp14:anchorId="397C0392" wp14:editId="319EEE03">
            <wp:extent cx="3397019" cy="793115"/>
            <wp:effectExtent l="0" t="0" r="0"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1978" cy="798942"/>
                    </a:xfrm>
                    <a:prstGeom prst="rect">
                      <a:avLst/>
                    </a:prstGeom>
                    <a:noFill/>
                  </pic:spPr>
                </pic:pic>
              </a:graphicData>
            </a:graphic>
          </wp:inline>
        </w:drawing>
      </w:r>
    </w:p>
    <w:p w14:paraId="2D598713" w14:textId="77777777" w:rsidR="002D1928" w:rsidRPr="002D1928" w:rsidRDefault="002D1928" w:rsidP="002D1928">
      <w:pPr>
        <w:spacing w:line="204" w:lineRule="exact"/>
        <w:rPr>
          <w:rFonts w:ascii="Arial"/>
          <w:sz w:val="18"/>
          <w:szCs w:val="18"/>
        </w:rPr>
      </w:pPr>
      <w:r w:rsidRPr="002D1928">
        <w:rPr>
          <w:rFonts w:ascii="Arial"/>
          <w:sz w:val="18"/>
          <w:szCs w:val="18"/>
        </w:rPr>
        <w:t>Figure 1. Schematic illustration of the research stages.</w:t>
      </w:r>
    </w:p>
    <w:p w14:paraId="2DDBAC37" w14:textId="73B23891" w:rsidR="005973B9" w:rsidRDefault="005973B9" w:rsidP="005973B9">
      <w:pPr>
        <w:spacing w:line="204" w:lineRule="exact"/>
        <w:rPr>
          <w:rFonts w:ascii="Arial"/>
          <w:b/>
          <w:sz w:val="20"/>
        </w:rPr>
      </w:pPr>
      <w:r>
        <w:rPr>
          <w:rFonts w:ascii="Arial"/>
          <w:b/>
          <w:color w:val="BF5A14"/>
          <w:sz w:val="20"/>
        </w:rPr>
        <w:br/>
        <w:t xml:space="preserve">Recent Publications </w:t>
      </w:r>
    </w:p>
    <w:p w14:paraId="66D58030" w14:textId="77777777" w:rsidR="002D1928" w:rsidRPr="002D1928" w:rsidRDefault="002D1928" w:rsidP="002D1928">
      <w:pPr>
        <w:tabs>
          <w:tab w:val="left" w:pos="384"/>
        </w:tabs>
        <w:spacing w:line="276" w:lineRule="auto"/>
        <w:ind w:right="117"/>
        <w:rPr>
          <w:rFonts w:ascii="Calibri" w:eastAsia="Calibri" w:hAnsi="Calibri" w:cs="Calibri"/>
          <w:sz w:val="18"/>
        </w:rPr>
      </w:pPr>
      <w:r w:rsidRPr="002D1928">
        <w:rPr>
          <w:rFonts w:ascii="Calibri" w:eastAsia="Calibri" w:hAnsi="Calibri" w:cs="Calibri"/>
          <w:sz w:val="18"/>
        </w:rPr>
        <w:t xml:space="preserve">1. </w:t>
      </w:r>
      <w:proofErr w:type="spellStart"/>
      <w:r w:rsidRPr="002D1928">
        <w:rPr>
          <w:rFonts w:ascii="Calibri" w:eastAsia="Calibri" w:hAnsi="Calibri" w:cs="Calibri"/>
          <w:sz w:val="18"/>
        </w:rPr>
        <w:t>Ankona</w:t>
      </w:r>
      <w:proofErr w:type="spellEnd"/>
      <w:r w:rsidRPr="002D1928">
        <w:rPr>
          <w:rFonts w:ascii="Calibri" w:eastAsia="Calibri" w:hAnsi="Calibri" w:cs="Calibri"/>
          <w:sz w:val="18"/>
        </w:rPr>
        <w:t xml:space="preserve">, E. </w:t>
      </w:r>
      <w:r w:rsidRPr="002D1928">
        <w:rPr>
          <w:rFonts w:ascii="Calibri" w:eastAsia="Calibri" w:hAnsi="Calibri" w:cs="Calibri"/>
          <w:i/>
          <w:iCs/>
          <w:sz w:val="18"/>
        </w:rPr>
        <w:t>et al.</w:t>
      </w:r>
      <w:r w:rsidRPr="002D1928">
        <w:rPr>
          <w:rFonts w:ascii="Calibri" w:eastAsia="Calibri" w:hAnsi="Calibri" w:cs="Calibri"/>
          <w:sz w:val="18"/>
        </w:rPr>
        <w:t xml:space="preserve"> (2021) ‘Investigation of pyrolysis kinetics and gaseous compounds emitted during charcoal production from woods commonly used in the Eastern Mediterranean’, </w:t>
      </w:r>
      <w:r w:rsidRPr="002D1928">
        <w:rPr>
          <w:rFonts w:ascii="Calibri" w:eastAsia="Calibri" w:hAnsi="Calibri" w:cs="Calibri"/>
          <w:i/>
          <w:iCs/>
          <w:sz w:val="18"/>
        </w:rPr>
        <w:t>Biofuels, Bioproducts and Biorefining</w:t>
      </w:r>
      <w:r w:rsidRPr="002D1928">
        <w:rPr>
          <w:rFonts w:ascii="Calibri" w:eastAsia="Calibri" w:hAnsi="Calibri" w:cs="Calibri"/>
          <w:sz w:val="18"/>
        </w:rPr>
        <w:t xml:space="preserve">, 2021(1), pp. 1–11. </w:t>
      </w:r>
      <w:proofErr w:type="spellStart"/>
      <w:r w:rsidRPr="002D1928">
        <w:rPr>
          <w:rFonts w:ascii="Calibri" w:eastAsia="Calibri" w:hAnsi="Calibri" w:cs="Calibri"/>
          <w:sz w:val="18"/>
        </w:rPr>
        <w:t>doi</w:t>
      </w:r>
      <w:proofErr w:type="spellEnd"/>
      <w:r w:rsidRPr="002D1928">
        <w:rPr>
          <w:rFonts w:ascii="Calibri" w:eastAsia="Calibri" w:hAnsi="Calibri" w:cs="Calibri"/>
          <w:sz w:val="18"/>
        </w:rPr>
        <w:t>: 10.1002/bbb.2188.</w:t>
      </w:r>
    </w:p>
    <w:p w14:paraId="27A3AD98" w14:textId="77777777" w:rsidR="002D1928" w:rsidRPr="002D1928" w:rsidRDefault="002D1928" w:rsidP="002D1928">
      <w:pPr>
        <w:tabs>
          <w:tab w:val="left" w:pos="384"/>
        </w:tabs>
        <w:spacing w:line="276" w:lineRule="auto"/>
        <w:ind w:right="117"/>
        <w:rPr>
          <w:rFonts w:ascii="Calibri" w:eastAsia="Calibri" w:hAnsi="Calibri" w:cs="Calibri"/>
          <w:sz w:val="18"/>
          <w:rtl/>
          <w:lang w:bidi="he-IL"/>
        </w:rPr>
      </w:pPr>
      <w:r w:rsidRPr="002D1928">
        <w:rPr>
          <w:rFonts w:ascii="Calibri" w:eastAsia="Calibri" w:hAnsi="Calibri" w:cs="Calibri"/>
          <w:sz w:val="18"/>
        </w:rPr>
        <w:t xml:space="preserve">2. </w:t>
      </w:r>
      <w:proofErr w:type="spellStart"/>
      <w:r w:rsidRPr="002D1928">
        <w:rPr>
          <w:rFonts w:ascii="Calibri" w:eastAsia="Calibri" w:hAnsi="Calibri" w:cs="Calibri"/>
          <w:sz w:val="18"/>
        </w:rPr>
        <w:t>Ankona</w:t>
      </w:r>
      <w:proofErr w:type="spellEnd"/>
      <w:r w:rsidRPr="002D1928">
        <w:rPr>
          <w:rFonts w:ascii="Calibri" w:eastAsia="Calibri" w:hAnsi="Calibri" w:cs="Calibri"/>
          <w:sz w:val="18"/>
        </w:rPr>
        <w:t xml:space="preserve">, E. </w:t>
      </w:r>
      <w:r w:rsidRPr="002D1928">
        <w:rPr>
          <w:rFonts w:ascii="Calibri" w:eastAsia="Calibri" w:hAnsi="Calibri" w:cs="Calibri"/>
          <w:i/>
          <w:iCs/>
          <w:sz w:val="18"/>
        </w:rPr>
        <w:t>et al.</w:t>
      </w:r>
      <w:r w:rsidRPr="002D1928">
        <w:rPr>
          <w:rFonts w:ascii="Calibri" w:eastAsia="Calibri" w:hAnsi="Calibri" w:cs="Calibri"/>
          <w:sz w:val="18"/>
        </w:rPr>
        <w:t xml:space="preserve"> (2022) ‘The Eastern Mediterranean Charcoal Industry: Air Pollution Prevention by the Implementation of a New Ecological Retort System’, </w:t>
      </w:r>
      <w:r w:rsidRPr="002D1928">
        <w:rPr>
          <w:rFonts w:ascii="Calibri" w:eastAsia="Calibri" w:hAnsi="Calibri" w:cs="Calibri"/>
          <w:i/>
          <w:iCs/>
          <w:sz w:val="18"/>
        </w:rPr>
        <w:t>Earth and Space Science</w:t>
      </w:r>
      <w:r w:rsidRPr="002D1928">
        <w:rPr>
          <w:rFonts w:ascii="Calibri" w:eastAsia="Calibri" w:hAnsi="Calibri" w:cs="Calibri"/>
          <w:sz w:val="18"/>
        </w:rPr>
        <w:t xml:space="preserve">, 9(3). </w:t>
      </w:r>
      <w:proofErr w:type="spellStart"/>
      <w:r w:rsidRPr="002D1928">
        <w:rPr>
          <w:rFonts w:ascii="Calibri" w:eastAsia="Calibri" w:hAnsi="Calibri" w:cs="Calibri"/>
          <w:sz w:val="18"/>
        </w:rPr>
        <w:t>doi</w:t>
      </w:r>
      <w:proofErr w:type="spellEnd"/>
      <w:r w:rsidRPr="002D1928">
        <w:rPr>
          <w:rFonts w:ascii="Calibri" w:eastAsia="Calibri" w:hAnsi="Calibri" w:cs="Calibri"/>
          <w:sz w:val="18"/>
        </w:rPr>
        <w:t>: 10.1029/2021ea002044.</w:t>
      </w:r>
    </w:p>
    <w:p w14:paraId="4D47793C" w14:textId="77777777" w:rsidR="002D1928" w:rsidRPr="002D1928" w:rsidRDefault="002D1928" w:rsidP="002D1928">
      <w:pPr>
        <w:tabs>
          <w:tab w:val="left" w:pos="384"/>
        </w:tabs>
        <w:spacing w:line="276" w:lineRule="auto"/>
        <w:ind w:right="117"/>
        <w:rPr>
          <w:rFonts w:ascii="Calibri" w:eastAsia="Calibri" w:hAnsi="Calibri" w:cs="Calibri"/>
          <w:sz w:val="18"/>
        </w:rPr>
      </w:pPr>
      <w:r w:rsidRPr="002D1928">
        <w:rPr>
          <w:rFonts w:ascii="Calibri" w:eastAsia="Calibri" w:hAnsi="Calibri" w:cs="Calibri"/>
          <w:sz w:val="18"/>
        </w:rPr>
        <w:t xml:space="preserve">3. </w:t>
      </w:r>
      <w:r w:rsidRPr="002D1928">
        <w:rPr>
          <w:rFonts w:ascii="Calibri" w:eastAsia="Calibri" w:hAnsi="Calibri" w:cs="Calibri"/>
          <w:sz w:val="18"/>
        </w:rPr>
        <w:fldChar w:fldCharType="begin" w:fldLock="1"/>
      </w:r>
      <w:r w:rsidRPr="002D1928">
        <w:rPr>
          <w:rFonts w:ascii="Calibri" w:eastAsia="Calibri" w:hAnsi="Calibri" w:cs="Calibri"/>
          <w:sz w:val="18"/>
        </w:rPr>
        <w:instrText xml:space="preserve">ADDIN Mendeley Bibliography CSL_BIBLIOGRAPHY </w:instrText>
      </w:r>
      <w:r w:rsidRPr="002D1928">
        <w:rPr>
          <w:rFonts w:ascii="Calibri" w:eastAsia="Calibri" w:hAnsi="Calibri" w:cs="Calibri"/>
          <w:sz w:val="18"/>
        </w:rPr>
        <w:fldChar w:fldCharType="separate"/>
      </w:r>
      <w:r w:rsidRPr="002D1928">
        <w:rPr>
          <w:rFonts w:ascii="Calibri" w:eastAsia="Calibri" w:hAnsi="Calibri" w:cs="Calibri"/>
          <w:sz w:val="18"/>
        </w:rPr>
        <w:t xml:space="preserve">Billig, M. </w:t>
      </w:r>
      <w:r w:rsidRPr="002D1928">
        <w:rPr>
          <w:rFonts w:ascii="Calibri" w:eastAsia="Calibri" w:hAnsi="Calibri" w:cs="Calibri"/>
          <w:i/>
          <w:iCs/>
          <w:sz w:val="18"/>
        </w:rPr>
        <w:t>et al.</w:t>
      </w:r>
      <w:r w:rsidRPr="002D1928">
        <w:rPr>
          <w:rFonts w:ascii="Calibri" w:eastAsia="Calibri" w:hAnsi="Calibri" w:cs="Calibri"/>
          <w:sz w:val="18"/>
        </w:rPr>
        <w:t xml:space="preserve"> (2022) ‘Charcoal Production in Palestinian villages - The Paradox of resistance to innovation driving rural development’, </w:t>
      </w:r>
      <w:r w:rsidRPr="002D1928">
        <w:rPr>
          <w:rFonts w:ascii="Calibri" w:eastAsia="Calibri" w:hAnsi="Calibri" w:cs="Calibri"/>
          <w:i/>
          <w:iCs/>
          <w:sz w:val="18"/>
        </w:rPr>
        <w:t>Journal of Rural Studies</w:t>
      </w:r>
      <w:r w:rsidRPr="002D1928">
        <w:rPr>
          <w:rFonts w:ascii="Calibri" w:eastAsia="Calibri" w:hAnsi="Calibri" w:cs="Calibri"/>
          <w:sz w:val="18"/>
        </w:rPr>
        <w:t>, 89, pp. 25–34. doi: https://doi.org/10.1016/j.jrurstud.2021.11.009.</w:t>
      </w:r>
    </w:p>
    <w:p w14:paraId="657E4E54" w14:textId="4A02C48B" w:rsidR="00AE3E37" w:rsidRPr="008756E6" w:rsidRDefault="002D1928" w:rsidP="002D1928">
      <w:pPr>
        <w:tabs>
          <w:tab w:val="left" w:pos="384"/>
        </w:tabs>
        <w:spacing w:line="276" w:lineRule="auto"/>
        <w:ind w:right="117"/>
      </w:pPr>
      <w:r w:rsidRPr="002D1928">
        <w:rPr>
          <w:rFonts w:ascii="Calibri" w:eastAsia="Calibri" w:hAnsi="Calibri" w:cs="Calibri"/>
          <w:sz w:val="18"/>
        </w:rPr>
        <w:fldChar w:fldCharType="end"/>
      </w:r>
    </w:p>
    <w:p w14:paraId="398FE75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0AA40D4" w14:textId="77777777" w:rsidR="00AE3E37" w:rsidRDefault="00AE3E37">
      <w:pPr>
        <w:pStyle w:val="BodyText"/>
        <w:rPr>
          <w:rFonts w:ascii="Calibri"/>
          <w:sz w:val="20"/>
        </w:rPr>
      </w:pPr>
    </w:p>
    <w:p w14:paraId="7E85F18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8D1A91" wp14:editId="0C4107F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080FE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738F0907" w14:textId="43BD25DB" w:rsidR="00AE3E37" w:rsidRDefault="008756E6" w:rsidP="00404E5B">
      <w:pPr>
        <w:spacing w:before="92"/>
        <w:ind w:right="4234"/>
        <w:rPr>
          <w:rFonts w:ascii="Arial"/>
        </w:rPr>
      </w:pPr>
      <w:r>
        <w:rPr>
          <w:noProof/>
        </w:rPr>
        <w:t xml:space="preserve">              </w:t>
      </w:r>
      <w:r w:rsidR="002D1928">
        <w:rPr>
          <w:noProof/>
          <w:lang w:val="en-IN" w:eastAsia="en-IN"/>
        </w:rPr>
        <w:drawing>
          <wp:inline distT="0" distB="0" distL="0" distR="0" wp14:anchorId="1763FF47" wp14:editId="1539C7DD">
            <wp:extent cx="878205" cy="1176655"/>
            <wp:effectExtent l="0" t="0" r="0" b="444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8205" cy="1176655"/>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14:paraId="2A63E90D" w14:textId="77777777" w:rsidR="002D1928" w:rsidRPr="002D1928" w:rsidRDefault="002D1928" w:rsidP="002D1928">
      <w:pPr>
        <w:widowControl/>
        <w:bidi/>
        <w:spacing w:after="160" w:line="259" w:lineRule="auto"/>
        <w:jc w:val="right"/>
        <w:rPr>
          <w:rFonts w:eastAsia="Calibri" w:cs="Times New Roman"/>
          <w:lang w:bidi="he-IL"/>
        </w:rPr>
      </w:pPr>
      <w:proofErr w:type="spellStart"/>
      <w:r w:rsidRPr="002D1928">
        <w:rPr>
          <w:rFonts w:eastAsia="Calibri" w:cs="Times New Roman"/>
          <w:lang w:bidi="he-IL"/>
        </w:rPr>
        <w:t>Etty</w:t>
      </w:r>
      <w:proofErr w:type="spellEnd"/>
      <w:r w:rsidRPr="002D1928">
        <w:rPr>
          <w:rFonts w:eastAsia="Calibri" w:cs="Times New Roman"/>
          <w:lang w:bidi="he-IL"/>
        </w:rPr>
        <w:t xml:space="preserve"> </w:t>
      </w:r>
      <w:proofErr w:type="spellStart"/>
      <w:r w:rsidRPr="002D1928">
        <w:rPr>
          <w:rFonts w:eastAsia="Calibri" w:cs="Times New Roman"/>
          <w:lang w:bidi="he-IL"/>
        </w:rPr>
        <w:t>Ankona</w:t>
      </w:r>
      <w:proofErr w:type="spellEnd"/>
      <w:r w:rsidRPr="002D1928">
        <w:rPr>
          <w:rFonts w:eastAsia="Calibri" w:cs="Times New Roman"/>
          <w:lang w:bidi="he-IL"/>
        </w:rPr>
        <w:t xml:space="preserve"> is a PhD candidate in the Ariel University chemical engineering department from where she also received her BSc and MSc. Her research involves wood pyrolysis physio-chemical study, process design, and indigenous-pastoral charcoal production systems assessment.</w:t>
      </w:r>
    </w:p>
    <w:p w14:paraId="0CA39051" w14:textId="4383E1A4" w:rsidR="00AE3E37" w:rsidRDefault="00A9710C">
      <w:pPr>
        <w:spacing w:before="62"/>
        <w:ind w:left="4217" w:right="4235"/>
        <w:jc w:val="center"/>
        <w:rPr>
          <w:rFonts w:ascii="Arial"/>
          <w:sz w:val="14"/>
        </w:rPr>
      </w:pPr>
      <w:r>
        <w:rPr>
          <w:rFonts w:ascii="Arial"/>
          <w:sz w:val="14"/>
        </w:rPr>
        <w:t xml:space="preserve">Email: </w:t>
      </w:r>
      <w:r w:rsidR="002D1928" w:rsidRPr="002D1928">
        <w:rPr>
          <w:rFonts w:ascii="Arial"/>
          <w:sz w:val="14"/>
        </w:rPr>
        <w:t>ettya@a</w:t>
      </w:r>
      <w:r w:rsidR="002D1928">
        <w:rPr>
          <w:rFonts w:ascii="Arial"/>
          <w:sz w:val="14"/>
        </w:rPr>
        <w:t>riel.ac.il</w:t>
      </w:r>
    </w:p>
    <w:p w14:paraId="79E4212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7A6E46E" wp14:editId="68962E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C45CC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FD7E78C" w14:textId="77777777" w:rsidR="00AE3E37" w:rsidRDefault="00AE3E37">
      <w:pPr>
        <w:pStyle w:val="BodyText"/>
        <w:rPr>
          <w:rFonts w:ascii="Arial"/>
          <w:sz w:val="20"/>
        </w:rPr>
      </w:pPr>
    </w:p>
    <w:p w14:paraId="58DAC9BD" w14:textId="77777777" w:rsidR="00AE3E37" w:rsidRDefault="00AE3E37">
      <w:pPr>
        <w:pStyle w:val="BodyText"/>
        <w:rPr>
          <w:rFonts w:ascii="Arial"/>
          <w:sz w:val="20"/>
        </w:rPr>
      </w:pPr>
    </w:p>
    <w:p w14:paraId="16B1CD45" w14:textId="4D13EE66" w:rsidR="00AE3E37" w:rsidRPr="002D1928" w:rsidRDefault="00AE3E37" w:rsidP="002D1928">
      <w:pPr>
        <w:spacing w:before="39"/>
        <w:rPr>
          <w:rFonts w:ascii="Minion Pro"/>
          <w:b/>
          <w:sz w:val="20"/>
        </w:rPr>
        <w:sectPr w:rsidR="00AE3E37" w:rsidRPr="002D1928" w:rsidSect="008E5477">
          <w:type w:val="continuous"/>
          <w:pgSz w:w="11910" w:h="16840"/>
          <w:pgMar w:top="995" w:right="600" w:bottom="840" w:left="620" w:header="720" w:footer="720" w:gutter="0"/>
          <w:cols w:space="720"/>
        </w:sectPr>
      </w:pPr>
    </w:p>
    <w:p w14:paraId="3E1C9048" w14:textId="77777777" w:rsidR="00F046EA" w:rsidRPr="0013708E" w:rsidRDefault="00F046EA" w:rsidP="00F046EA">
      <w:pPr>
        <w:jc w:val="both"/>
        <w:rPr>
          <w:b/>
        </w:rPr>
      </w:pPr>
      <w:r w:rsidRPr="0013708E">
        <w:rPr>
          <w:b/>
        </w:rPr>
        <w:lastRenderedPageBreak/>
        <w:t xml:space="preserve">Presenting author details </w:t>
      </w:r>
    </w:p>
    <w:p w14:paraId="68D7E72E" w14:textId="756CE93B" w:rsidR="00F046EA" w:rsidRPr="0013708E" w:rsidRDefault="00F046EA" w:rsidP="00F046EA">
      <w:pPr>
        <w:jc w:val="both"/>
      </w:pPr>
      <w:r w:rsidRPr="0013708E">
        <w:t xml:space="preserve">Full name: </w:t>
      </w:r>
      <w:proofErr w:type="spellStart"/>
      <w:r w:rsidR="002D1928">
        <w:t>Etty</w:t>
      </w:r>
      <w:proofErr w:type="spellEnd"/>
      <w:r w:rsidR="002D1928">
        <w:t xml:space="preserve"> </w:t>
      </w:r>
      <w:proofErr w:type="spellStart"/>
      <w:r w:rsidR="002D1928">
        <w:t>Ankona</w:t>
      </w:r>
      <w:proofErr w:type="spellEnd"/>
    </w:p>
    <w:p w14:paraId="3DCCC56C" w14:textId="0C36F384" w:rsidR="00F046EA" w:rsidRDefault="00F046EA" w:rsidP="00F046EA">
      <w:pPr>
        <w:jc w:val="both"/>
      </w:pPr>
      <w:r w:rsidRPr="0013708E">
        <w:t>Contact number:</w:t>
      </w:r>
      <w:r w:rsidR="002D1928">
        <w:t xml:space="preserve"> 0505951125</w:t>
      </w:r>
    </w:p>
    <w:p w14:paraId="73BEA7C8" w14:textId="716941F9" w:rsidR="00F046EA" w:rsidRPr="0013708E" w:rsidRDefault="00F046EA" w:rsidP="00F046EA">
      <w:pPr>
        <w:jc w:val="both"/>
      </w:pPr>
      <w:r>
        <w:t xml:space="preserve">Mail id: </w:t>
      </w:r>
      <w:r w:rsidR="002D1928">
        <w:t>ettya@ariel.ac.il</w:t>
      </w:r>
    </w:p>
    <w:p w14:paraId="7437A4E8" w14:textId="1501BD8D" w:rsidR="00F046EA" w:rsidRDefault="00F046EA" w:rsidP="00F046EA">
      <w:pPr>
        <w:jc w:val="both"/>
      </w:pPr>
      <w:r w:rsidRPr="0013708E">
        <w:t>Category: Poster presentation</w:t>
      </w:r>
      <w:r>
        <w:t xml:space="preserve"> </w:t>
      </w:r>
    </w:p>
    <w:p w14:paraId="15BE3EDC"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6B943" w14:textId="77777777" w:rsidR="00E94AED" w:rsidRDefault="00E94AED">
      <w:r>
        <w:separator/>
      </w:r>
    </w:p>
  </w:endnote>
  <w:endnote w:type="continuationSeparator" w:id="0">
    <w:p w14:paraId="1FCCE63A" w14:textId="77777777" w:rsidR="00E94AED" w:rsidRDefault="00E94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1FCE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886D37" wp14:editId="7AD2A3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486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AF35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886D3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8E486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AF35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DE7D034" wp14:editId="412B46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04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181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E7D03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48804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1181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449CA5" wp14:editId="473A285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F39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DE6F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49CA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21F39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DE6F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5535BF" w14:textId="77777777" w:rsidR="00E94AED" w:rsidRDefault="00E94AED">
      <w:r>
        <w:separator/>
      </w:r>
    </w:p>
  </w:footnote>
  <w:footnote w:type="continuationSeparator" w:id="0">
    <w:p w14:paraId="05D6783D" w14:textId="77777777" w:rsidR="00E94AED" w:rsidRDefault="00E94A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D1928"/>
    <w:rsid w:val="00351D9B"/>
    <w:rsid w:val="00380299"/>
    <w:rsid w:val="00404E5B"/>
    <w:rsid w:val="00414F7B"/>
    <w:rsid w:val="004355DC"/>
    <w:rsid w:val="004749B4"/>
    <w:rsid w:val="00494130"/>
    <w:rsid w:val="004F3523"/>
    <w:rsid w:val="005973B9"/>
    <w:rsid w:val="005B3A56"/>
    <w:rsid w:val="005E755D"/>
    <w:rsid w:val="006060CE"/>
    <w:rsid w:val="0061505C"/>
    <w:rsid w:val="0063497F"/>
    <w:rsid w:val="00714354"/>
    <w:rsid w:val="00873DF0"/>
    <w:rsid w:val="008756E6"/>
    <w:rsid w:val="00897EC5"/>
    <w:rsid w:val="008E4794"/>
    <w:rsid w:val="008E5477"/>
    <w:rsid w:val="00950A86"/>
    <w:rsid w:val="009B2D44"/>
    <w:rsid w:val="00A07E82"/>
    <w:rsid w:val="00A52075"/>
    <w:rsid w:val="00A9710C"/>
    <w:rsid w:val="00AE3E37"/>
    <w:rsid w:val="00B21A57"/>
    <w:rsid w:val="00C2283A"/>
    <w:rsid w:val="00C33602"/>
    <w:rsid w:val="00C56C74"/>
    <w:rsid w:val="00CD6F55"/>
    <w:rsid w:val="00DE3104"/>
    <w:rsid w:val="00DE6170"/>
    <w:rsid w:val="00E30AAC"/>
    <w:rsid w:val="00E94AED"/>
    <w:rsid w:val="00E95D97"/>
    <w:rsid w:val="00F046EA"/>
    <w:rsid w:val="00F424A3"/>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D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2970</Characters>
  <Application>Microsoft Office Word</Application>
  <DocSecurity>0</DocSecurity>
  <Lines>24</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Microsoft</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2023-01-30T11:33:00Z</dcterms:created>
  <dcterms:modified xsi:type="dcterms:W3CDTF">2023-01-30T11:33:00Z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