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EC4B84" w14:textId="2A3C5877" w:rsidR="00AE3E37" w:rsidRDefault="00793854" w:rsidP="00494130">
      <w:pPr>
        <w:pStyle w:val="Heading1"/>
        <w:spacing w:before="170"/>
        <w:ind w:left="0"/>
      </w:pPr>
      <w:r>
        <w:rPr>
          <w:color w:val="337AB7"/>
        </w:rPr>
        <w:t>Advancements in Digital All-On-X Surgeries:  Improvements to Quality, Cost and Efficiency</w:t>
      </w:r>
    </w:p>
    <w:p w14:paraId="2219DF39" w14:textId="6184A260" w:rsidR="005973B9" w:rsidRDefault="00793854" w:rsidP="005973B9">
      <w:pPr>
        <w:pStyle w:val="BodyText"/>
        <w:spacing w:before="73" w:line="198" w:lineRule="exact"/>
        <w:ind w:left="100" w:right="5987"/>
        <w:rPr>
          <w:rFonts w:ascii="Arial"/>
        </w:rPr>
      </w:pPr>
      <w:r>
        <w:rPr>
          <w:rFonts w:ascii="Arial"/>
        </w:rPr>
        <w:t xml:space="preserve">James T Craig, </w:t>
      </w:r>
      <w:r w:rsidR="000140D9">
        <w:rPr>
          <w:rFonts w:ascii="Arial"/>
        </w:rPr>
        <w:t xml:space="preserve">PhD, MPH, </w:t>
      </w:r>
      <w:r>
        <w:rPr>
          <w:rFonts w:ascii="Arial"/>
        </w:rPr>
        <w:t>DDS, MAGD</w:t>
      </w:r>
    </w:p>
    <w:p w14:paraId="55954022" w14:textId="77777777" w:rsidR="00AE3E37" w:rsidRDefault="00AE3E37">
      <w:pPr>
        <w:pStyle w:val="BodyText"/>
        <w:rPr>
          <w:rFonts w:ascii="Arial"/>
          <w:sz w:val="20"/>
        </w:rPr>
      </w:pPr>
    </w:p>
    <w:p w14:paraId="59CA3B8E"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E5BA34F" w14:textId="526645DF" w:rsidR="00AE3E37" w:rsidRDefault="00A9710C">
      <w:pPr>
        <w:pStyle w:val="Heading3"/>
        <w:spacing w:before="147"/>
        <w:jc w:val="both"/>
      </w:pPr>
      <w:r>
        <w:rPr>
          <w:color w:val="BF5A14"/>
        </w:rPr>
        <w:lastRenderedPageBreak/>
        <w:t>Abstract</w:t>
      </w:r>
      <w:r w:rsidR="00404E5B">
        <w:rPr>
          <w:color w:val="BF5A14"/>
        </w:rPr>
        <w:t xml:space="preserve"> </w:t>
      </w:r>
    </w:p>
    <w:p w14:paraId="5AE8767B" w14:textId="77777777" w:rsidR="008E68CC" w:rsidRDefault="00793854">
      <w:pPr>
        <w:pStyle w:val="BodyText"/>
        <w:spacing w:before="90" w:line="280" w:lineRule="auto"/>
        <w:ind w:left="100"/>
        <w:jc w:val="both"/>
      </w:pPr>
      <w:r>
        <w:t>Doctors who undergo large All-On-</w:t>
      </w:r>
      <w:proofErr w:type="gramStart"/>
      <w:r>
        <w:t>X  cases</w:t>
      </w:r>
      <w:proofErr w:type="gramEnd"/>
      <w:r>
        <w:t xml:space="preserve"> often have to </w:t>
      </w:r>
      <w:proofErr w:type="spellStart"/>
      <w:r>
        <w:t>sactifice</w:t>
      </w:r>
      <w:proofErr w:type="spellEnd"/>
      <w:r>
        <w:t xml:space="preserve"> one or more of Quality, Cost and Efficiency in treatment outcomes.  With the advances in digital surgery</w:t>
      </w:r>
      <w:r w:rsidR="008E68CC">
        <w:t xml:space="preserve"> however</w:t>
      </w:r>
      <w:r>
        <w:t>,</w:t>
      </w:r>
      <w:r w:rsidR="008E68CC">
        <w:t xml:space="preserve"> compromise of this nature can be avoided.  C</w:t>
      </w:r>
      <w:r w:rsidR="00A54F43">
        <w:t xml:space="preserve">osts can be kept low for the treating doctor, </w:t>
      </w:r>
      <w:r w:rsidR="008E68CC">
        <w:t>a</w:t>
      </w:r>
      <w:r w:rsidR="00A54F43">
        <w:t>ccuracy is improved and the patient can achieve treatment objectives in a very short time with fewer side effects</w:t>
      </w:r>
      <w:r w:rsidR="008E68CC">
        <w:t xml:space="preserve"> than traditional methods</w:t>
      </w:r>
      <w:r w:rsidR="00A54F43">
        <w:t xml:space="preserve">.  </w:t>
      </w:r>
      <w:r w:rsidR="00A9710C">
        <w:t xml:space="preserve">The purpose of this </w:t>
      </w:r>
      <w:r w:rsidR="00A54F43">
        <w:t xml:space="preserve">case </w:t>
      </w:r>
      <w:r w:rsidR="00A9710C">
        <w:t>study is to</w:t>
      </w:r>
      <w:r w:rsidR="00404E5B">
        <w:t xml:space="preserve"> </w:t>
      </w:r>
      <w:r w:rsidR="00A9710C">
        <w:t xml:space="preserve">describe </w:t>
      </w:r>
      <w:r w:rsidR="00A54F43">
        <w:t xml:space="preserve">the experience of performing All-On-X completely digitally and seamlessly. </w:t>
      </w:r>
    </w:p>
    <w:p w14:paraId="278269CE" w14:textId="77777777" w:rsidR="008E68CC" w:rsidRDefault="00A9710C">
      <w:pPr>
        <w:pStyle w:val="BodyText"/>
        <w:spacing w:before="90" w:line="280" w:lineRule="auto"/>
        <w:ind w:left="100"/>
        <w:jc w:val="both"/>
      </w:pPr>
      <w:r>
        <w:t>Methodolog</w:t>
      </w:r>
      <w:r w:rsidR="008756E6">
        <w:t xml:space="preserve">y: </w:t>
      </w:r>
      <w:r w:rsidR="00A54F43">
        <w:t xml:space="preserve"> A patient with necrosis of both jaws presents for extraction, debridement of necrotic material, degranulation of infected soft tissue, bone remodeling, bone grafting and bone stabilizer placement for an all-on-6 mandibular and maxillary fixed synthetic prosthetic orthognathic system.  Digital tools such as Cone-Beam Computed Tomography, Digital Facebow transfer, Digital 3-D dynamic navigation system, Photogrammetry, </w:t>
      </w:r>
      <w:r w:rsidR="006778D5">
        <w:t xml:space="preserve">Digital prosthetic planning and in-office 3D Printing of the prosthesis were used to achieve a result that took place in just 8 hours, 1 day after meeting the patient for the first time.  </w:t>
      </w:r>
    </w:p>
    <w:p w14:paraId="5C94D6AE" w14:textId="23163F2D" w:rsidR="00AE3E37" w:rsidRDefault="00A9710C">
      <w:pPr>
        <w:pStyle w:val="BodyText"/>
        <w:spacing w:before="90" w:line="280" w:lineRule="auto"/>
        <w:ind w:left="100"/>
        <w:jc w:val="both"/>
      </w:pPr>
      <w:r>
        <w:t xml:space="preserve">Conclusion &amp; Significance: </w:t>
      </w:r>
      <w:r w:rsidR="006778D5">
        <w:t>Instead of having to wait weeks or even months for more traditional surgical planning using laboratory-fabricated surgical guides, bone foundation guides and analog placement of bone stabilizers, a completely digital workflow enhances Quality, Cost and Efficiency to the practitioner and to the patient, resulting in more desirable treatment outcomes</w:t>
      </w:r>
      <w:r>
        <w:t>.</w:t>
      </w:r>
    </w:p>
    <w:p w14:paraId="62A513AC" w14:textId="20B91AAB" w:rsidR="005973B9" w:rsidRDefault="00A9710C" w:rsidP="004C6931">
      <w:pPr>
        <w:pStyle w:val="Heading3"/>
        <w:spacing w:before="74"/>
        <w:rPr>
          <w:b w:val="0"/>
        </w:rPr>
      </w:pPr>
      <w:r>
        <w:rPr>
          <w:b w:val="0"/>
        </w:rPr>
        <w:br w:type="column"/>
      </w:r>
      <w:r w:rsidR="005973B9">
        <w:rPr>
          <w:color w:val="BF5A14"/>
        </w:rPr>
        <w:lastRenderedPageBreak/>
        <w:br/>
        <w:t>Recent Publications</w:t>
      </w:r>
    </w:p>
    <w:p w14:paraId="180ADB37" w14:textId="2E981696" w:rsidR="004C6931" w:rsidRPr="004C6931" w:rsidRDefault="004C6931" w:rsidP="00583BE2">
      <w:pPr>
        <w:pStyle w:val="ListParagraph"/>
        <w:numPr>
          <w:ilvl w:val="0"/>
          <w:numId w:val="3"/>
        </w:numPr>
        <w:tabs>
          <w:tab w:val="left" w:pos="384"/>
        </w:tabs>
        <w:spacing w:line="216" w:lineRule="exact"/>
        <w:ind w:right="137"/>
        <w:rPr>
          <w:sz w:val="18"/>
        </w:rPr>
      </w:pPr>
      <w:r w:rsidRPr="004C6931">
        <w:rPr>
          <w:sz w:val="18"/>
        </w:rPr>
        <w:t>Tensile behavior of cortical bone: Dependence of organic matrix material properties on bone mineral content, Journal of Biomechanics, Volume 40, Issue 1, 2007,</w:t>
      </w:r>
      <w:r>
        <w:rPr>
          <w:sz w:val="18"/>
        </w:rPr>
        <w:t xml:space="preserve"> </w:t>
      </w:r>
      <w:r w:rsidRPr="004C6931">
        <w:rPr>
          <w:sz w:val="18"/>
        </w:rPr>
        <w:t>Pages 36-45,</w:t>
      </w:r>
    </w:p>
    <w:p w14:paraId="34AE62B0" w14:textId="77777777" w:rsidR="004C6931" w:rsidRPr="004C6931" w:rsidRDefault="004C6931" w:rsidP="00F94947">
      <w:pPr>
        <w:pStyle w:val="ListParagraph"/>
        <w:numPr>
          <w:ilvl w:val="0"/>
          <w:numId w:val="3"/>
        </w:numPr>
        <w:tabs>
          <w:tab w:val="left" w:pos="384"/>
        </w:tabs>
        <w:spacing w:before="85" w:line="216" w:lineRule="exact"/>
        <w:ind w:right="138"/>
      </w:pPr>
      <w:r w:rsidRPr="004C6931">
        <w:rPr>
          <w:sz w:val="18"/>
        </w:rPr>
        <w:t>Dentin matrix protein 1 gene cis-regulation: use in osteocytes to characterize local responses to mechanical loading in vitro and in vivo. Journal of Biological Chemistry, 280(21), 20680-20690</w:t>
      </w:r>
      <w:r w:rsidRPr="004C6931">
        <w:rPr>
          <w:rFonts w:ascii="Arial" w:hAnsi="Arial" w:cs="Arial"/>
          <w:color w:val="222222"/>
          <w:sz w:val="20"/>
          <w:szCs w:val="20"/>
          <w:shd w:val="clear" w:color="auto" w:fill="FFFFFF"/>
        </w:rPr>
        <w:t>.</w:t>
      </w:r>
    </w:p>
    <w:p w14:paraId="2E4F15AF" w14:textId="18F18B17" w:rsidR="004C6931" w:rsidRDefault="004C6931" w:rsidP="004C6931">
      <w:pPr>
        <w:pStyle w:val="ListParagraph"/>
        <w:numPr>
          <w:ilvl w:val="0"/>
          <w:numId w:val="3"/>
        </w:numPr>
        <w:tabs>
          <w:tab w:val="left" w:pos="384"/>
        </w:tabs>
        <w:spacing w:before="85" w:line="216" w:lineRule="exact"/>
        <w:ind w:right="138"/>
        <w:rPr>
          <w:sz w:val="18"/>
        </w:rPr>
      </w:pPr>
      <w:r w:rsidRPr="004C6931">
        <w:rPr>
          <w:sz w:val="18"/>
        </w:rPr>
        <w:t>The transcription factor Sox9 is degraded by the ubiquitin–proteasome system and stabilized by a mutation in a ubiquitin-target site. Matrix Biology, 23(8), 499-505.</w:t>
      </w:r>
    </w:p>
    <w:p w14:paraId="0571B133" w14:textId="720CD62A" w:rsidR="004C6931" w:rsidRDefault="004C6931" w:rsidP="004C6931">
      <w:pPr>
        <w:pStyle w:val="ListParagraph"/>
        <w:numPr>
          <w:ilvl w:val="0"/>
          <w:numId w:val="3"/>
        </w:numPr>
        <w:tabs>
          <w:tab w:val="left" w:pos="384"/>
        </w:tabs>
        <w:spacing w:before="85" w:line="216" w:lineRule="exact"/>
        <w:ind w:right="138"/>
        <w:rPr>
          <w:sz w:val="18"/>
        </w:rPr>
      </w:pPr>
      <w:r w:rsidRPr="004C6931">
        <w:rPr>
          <w:sz w:val="18"/>
        </w:rPr>
        <w:t xml:space="preserve">Altered mandibular development precedes the time of palate closure in mice homozygous for disproportionate </w:t>
      </w:r>
      <w:proofErr w:type="spellStart"/>
      <w:r w:rsidRPr="004C6931">
        <w:rPr>
          <w:sz w:val="18"/>
        </w:rPr>
        <w:t>micromelia</w:t>
      </w:r>
      <w:proofErr w:type="spellEnd"/>
      <w:r w:rsidRPr="004C6931">
        <w:rPr>
          <w:sz w:val="18"/>
        </w:rPr>
        <w:t xml:space="preserve">: an oral </w:t>
      </w:r>
      <w:proofErr w:type="spellStart"/>
      <w:r w:rsidRPr="004C6931">
        <w:rPr>
          <w:sz w:val="18"/>
        </w:rPr>
        <w:t>clefting</w:t>
      </w:r>
      <w:proofErr w:type="spellEnd"/>
      <w:r w:rsidRPr="004C6931">
        <w:rPr>
          <w:sz w:val="18"/>
        </w:rPr>
        <w:t xml:space="preserve"> model supporting the Pierre‐Robin sequence. Teratology, 65(3), 116-120.</w:t>
      </w:r>
    </w:p>
    <w:p w14:paraId="718110A7" w14:textId="7840E07E" w:rsidR="004C6931" w:rsidRDefault="004C6931" w:rsidP="004C6931">
      <w:pPr>
        <w:pStyle w:val="ListParagraph"/>
        <w:numPr>
          <w:ilvl w:val="0"/>
          <w:numId w:val="3"/>
        </w:numPr>
        <w:tabs>
          <w:tab w:val="left" w:pos="384"/>
        </w:tabs>
        <w:spacing w:before="85" w:line="216" w:lineRule="exact"/>
        <w:ind w:right="138"/>
        <w:rPr>
          <w:sz w:val="18"/>
        </w:rPr>
      </w:pPr>
      <w:r w:rsidRPr="004C6931">
        <w:rPr>
          <w:sz w:val="18"/>
        </w:rPr>
        <w:t>Molecular basis for action of bioactive glasses as bone graft substitute. Scandinavian journal of surgery, 95(2), 95-102.</w:t>
      </w:r>
    </w:p>
    <w:p w14:paraId="6BF141D3" w14:textId="2DF65D7C" w:rsidR="004C6931" w:rsidRDefault="004C6931" w:rsidP="004C6931">
      <w:pPr>
        <w:pStyle w:val="ListParagraph"/>
        <w:numPr>
          <w:ilvl w:val="0"/>
          <w:numId w:val="3"/>
        </w:numPr>
        <w:tabs>
          <w:tab w:val="left" w:pos="384"/>
        </w:tabs>
        <w:spacing w:before="85" w:line="216" w:lineRule="exact"/>
        <w:ind w:right="138"/>
        <w:rPr>
          <w:sz w:val="18"/>
        </w:rPr>
      </w:pPr>
      <w:r w:rsidRPr="004C6931">
        <w:rPr>
          <w:sz w:val="18"/>
        </w:rPr>
        <w:t>Influence of bioactive glass on changes in alveolar process dimensions after exodontia. Oral Surgery, Oral Medicine, Oral Pathology, Oral Radiology, and Endodontology, 90(5), 581-586.</w:t>
      </w:r>
    </w:p>
    <w:p w14:paraId="5F6D2754" w14:textId="54F8AD65" w:rsidR="004C6931" w:rsidRPr="004C6931" w:rsidRDefault="004C6931" w:rsidP="004C6931">
      <w:pPr>
        <w:pStyle w:val="ListParagraph"/>
        <w:numPr>
          <w:ilvl w:val="0"/>
          <w:numId w:val="3"/>
        </w:numPr>
        <w:tabs>
          <w:tab w:val="left" w:pos="384"/>
        </w:tabs>
        <w:spacing w:before="85" w:line="216" w:lineRule="exact"/>
        <w:ind w:right="138"/>
        <w:rPr>
          <w:sz w:val="18"/>
        </w:rPr>
      </w:pPr>
      <w:r w:rsidRPr="004C6931">
        <w:rPr>
          <w:sz w:val="18"/>
        </w:rPr>
        <w:t>Tay, B. K., Patel, V. V., &amp; Bradford, D. S. (1999). Calcium sulfate–and calcium phosphate–based bone substitutes: mimicry of the mineral phase of bone. Orthopedic Clinics, 30(4), 615-623.</w:t>
      </w:r>
    </w:p>
    <w:p w14:paraId="56CA62B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D3A21E2" w14:textId="77777777" w:rsidR="00AE3E37" w:rsidRDefault="00AE3E37">
      <w:pPr>
        <w:pStyle w:val="BodyText"/>
        <w:rPr>
          <w:rFonts w:ascii="Calibri"/>
          <w:sz w:val="20"/>
        </w:rPr>
      </w:pPr>
    </w:p>
    <w:p w14:paraId="2A32AA4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2C44839" wp14:editId="2F137A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9D8CB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4BC2596" w14:textId="3EAC33D4"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194EE7B4" wp14:editId="35A61F10">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48D137" w14:textId="674DCE6A" w:rsidR="00A52075" w:rsidRDefault="000140D9" w:rsidP="00A52075">
                            <w:pPr>
                              <w:rPr>
                                <w:b/>
                                <w:color w:val="0000FF"/>
                                <w:lang w:val="en-IN"/>
                              </w:rPr>
                            </w:pPr>
                            <w:r>
                              <w:rPr>
                                <w:noProof/>
                                <w:lang w:val="en-IN" w:eastAsia="en-IN"/>
                              </w:rPr>
                              <w:drawing>
                                <wp:inline distT="0" distB="0" distL="0" distR="0" wp14:anchorId="2B5730FD" wp14:editId="6C4EB560">
                                  <wp:extent cx="741680" cy="346710"/>
                                  <wp:effectExtent l="0" t="0" r="127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1680" cy="3467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94EE7B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5948D137" w14:textId="674DCE6A" w:rsidR="00A52075" w:rsidRDefault="000140D9" w:rsidP="00A52075">
                      <w:pPr>
                        <w:rPr>
                          <w:b/>
                          <w:color w:val="0000FF"/>
                          <w:lang w:val="en-IN"/>
                        </w:rPr>
                      </w:pPr>
                      <w:r>
                        <w:rPr>
                          <w:noProof/>
                        </w:rPr>
                        <w:drawing>
                          <wp:inline distT="0" distB="0" distL="0" distR="0" wp14:anchorId="2B5730FD" wp14:editId="6C4EB560">
                            <wp:extent cx="741680" cy="346710"/>
                            <wp:effectExtent l="0" t="0" r="1270" b="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46710"/>
                                    </a:xfrm>
                                    <a:prstGeom prst="rect">
                                      <a:avLst/>
                                    </a:prstGeom>
                                    <a:noFill/>
                                    <a:ln>
                                      <a:noFill/>
                                    </a:ln>
                                  </pic:spPr>
                                </pic:pic>
                              </a:graphicData>
                            </a:graphic>
                          </wp:inline>
                        </w:drawing>
                      </w:r>
                    </w:p>
                  </w:txbxContent>
                </v:textbox>
              </v:roundrect>
            </w:pict>
          </mc:Fallback>
        </mc:AlternateContent>
      </w:r>
      <w:r w:rsidR="008756E6">
        <w:rPr>
          <w:noProof/>
        </w:rPr>
        <w:t xml:space="preserve">              </w:t>
      </w:r>
      <w:r w:rsidR="000140D9">
        <w:rPr>
          <w:noProof/>
          <w:lang w:val="en-IN" w:eastAsia="en-IN"/>
        </w:rPr>
        <w:drawing>
          <wp:inline distT="0" distB="0" distL="0" distR="0" wp14:anchorId="145D7826" wp14:editId="2EAA715F">
            <wp:extent cx="609600" cy="836023"/>
            <wp:effectExtent l="0" t="0" r="0" b="2540"/>
            <wp:docPr id="6" name="Picture 6"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miling for the camera&#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185" cy="8395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Pr="00A52075">
        <w:rPr>
          <w:rFonts w:ascii="Times New Roman" w:hAnsi="Times New Roman" w:cs="Times New Roman"/>
          <w:sz w:val="24"/>
          <w:szCs w:val="24"/>
        </w:rPr>
        <w:t xml:space="preserve"> </w:t>
      </w:r>
    </w:p>
    <w:p w14:paraId="70FACE9F" w14:textId="065F884E" w:rsidR="00AE3E37" w:rsidRDefault="000140D9">
      <w:pPr>
        <w:spacing w:before="41" w:line="154" w:lineRule="exact"/>
        <w:ind w:left="213" w:right="231"/>
        <w:jc w:val="both"/>
        <w:rPr>
          <w:rFonts w:ascii="Arial"/>
          <w:sz w:val="14"/>
        </w:rPr>
      </w:pPr>
      <w:r>
        <w:rPr>
          <w:rFonts w:ascii="Arial"/>
          <w:sz w:val="14"/>
        </w:rPr>
        <w:t>Dr Craig received a Doctor of Dental Surgery degree from the University of Missouri in 2006.  He was on a research team for the National Institutes of Health Department of Dental and Craniofacial Research where he developed novel bone grafting materials and pioneered the use of diatoms to reduce polymerization shrinkage in restorative polymers.  He also served as a professor of Histology and Biochemistry for the University of Missouri.  As the CEO of BFB Inc</w:t>
      </w:r>
      <w:proofErr w:type="gramStart"/>
      <w:r>
        <w:rPr>
          <w:rFonts w:ascii="Arial"/>
          <w:sz w:val="14"/>
        </w:rPr>
        <w:t>,,</w:t>
      </w:r>
      <w:proofErr w:type="gramEnd"/>
      <w:r>
        <w:rPr>
          <w:rFonts w:ascii="Arial"/>
          <w:sz w:val="14"/>
        </w:rPr>
        <w:t xml:space="preserve"> Dr Craig is an expert speaker on topics of </w:t>
      </w:r>
      <w:r w:rsidR="008E68CC">
        <w:rPr>
          <w:rFonts w:ascii="Arial"/>
          <w:sz w:val="14"/>
        </w:rPr>
        <w:t xml:space="preserve">Digital Surgery, </w:t>
      </w:r>
      <w:r>
        <w:rPr>
          <w:rFonts w:ascii="Arial"/>
          <w:sz w:val="14"/>
        </w:rPr>
        <w:t xml:space="preserve">bone grafting and head and neck surgical techniques and currently lectures internationally for </w:t>
      </w:r>
      <w:proofErr w:type="spellStart"/>
      <w:r>
        <w:rPr>
          <w:rFonts w:ascii="Arial"/>
          <w:sz w:val="14"/>
        </w:rPr>
        <w:t>EnvistaCo</w:t>
      </w:r>
      <w:proofErr w:type="spellEnd"/>
      <w:r>
        <w:rPr>
          <w:rFonts w:ascii="Arial"/>
          <w:sz w:val="14"/>
        </w:rPr>
        <w:t xml:space="preserve">.  </w:t>
      </w:r>
    </w:p>
    <w:p w14:paraId="60D58F96" w14:textId="2A99FAB4" w:rsidR="00AE3E37" w:rsidRDefault="00A9710C">
      <w:pPr>
        <w:spacing w:before="62"/>
        <w:ind w:left="4217" w:right="4235"/>
        <w:jc w:val="center"/>
        <w:rPr>
          <w:rFonts w:ascii="Arial"/>
          <w:sz w:val="14"/>
        </w:rPr>
      </w:pPr>
      <w:r>
        <w:rPr>
          <w:rFonts w:ascii="Arial"/>
          <w:sz w:val="14"/>
        </w:rPr>
        <w:t xml:space="preserve">Email: </w:t>
      </w:r>
      <w:hyperlink r:id="rId12" w:history="1">
        <w:r w:rsidR="000140D9">
          <w:rPr>
            <w:rStyle w:val="Hyperlink"/>
            <w:rFonts w:ascii="Arial"/>
            <w:sz w:val="14"/>
          </w:rPr>
          <w:t>drcraig@summerbrookdental.com</w:t>
        </w:r>
      </w:hyperlink>
    </w:p>
    <w:p w14:paraId="7BF267F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88EFD2A" wp14:editId="609314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3D7BA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D8CA12B" w14:textId="77777777" w:rsidR="00AE3E37" w:rsidRDefault="00AE3E37">
      <w:pPr>
        <w:pStyle w:val="BodyText"/>
        <w:rPr>
          <w:rFonts w:ascii="Arial"/>
          <w:sz w:val="20"/>
        </w:rPr>
      </w:pPr>
    </w:p>
    <w:p w14:paraId="370FA818" w14:textId="77777777" w:rsidR="00AE3E37" w:rsidRDefault="00AE3E37">
      <w:pPr>
        <w:pStyle w:val="BodyText"/>
        <w:rPr>
          <w:rFonts w:ascii="Arial"/>
          <w:sz w:val="20"/>
        </w:rPr>
      </w:pPr>
    </w:p>
    <w:p w14:paraId="6EB06068" w14:textId="77777777" w:rsidR="00AE3E37" w:rsidRDefault="00AE3E37">
      <w:pPr>
        <w:pStyle w:val="BodyText"/>
        <w:spacing w:before="7"/>
        <w:rPr>
          <w:rFonts w:ascii="Arial"/>
          <w:sz w:val="29"/>
        </w:rPr>
      </w:pPr>
    </w:p>
    <w:p w14:paraId="7F6F5EC1" w14:textId="77777777" w:rsidR="00AE3E37" w:rsidRPr="00B21A57" w:rsidRDefault="00A9710C">
      <w:pPr>
        <w:spacing w:before="39"/>
        <w:ind w:left="100"/>
        <w:rPr>
          <w:rFonts w:ascii="Minion Pro"/>
          <w:b/>
          <w:sz w:val="20"/>
        </w:rPr>
      </w:pPr>
      <w:r w:rsidRPr="00B21A57">
        <w:rPr>
          <w:rFonts w:ascii="Minion Pro"/>
          <w:b/>
          <w:sz w:val="20"/>
        </w:rPr>
        <w:t>Notes/Comments:</w:t>
      </w:r>
    </w:p>
    <w:p w14:paraId="4CD168A1" w14:textId="77777777" w:rsidR="00AE3E37" w:rsidRDefault="00AE3E37">
      <w:pPr>
        <w:rPr>
          <w:rFonts w:ascii="Minion Pro"/>
          <w:sz w:val="24"/>
        </w:rPr>
      </w:pPr>
    </w:p>
    <w:p w14:paraId="24023F7F" w14:textId="77777777" w:rsidR="008E68CC" w:rsidRDefault="008E68CC">
      <w:pPr>
        <w:rPr>
          <w:rFonts w:ascii="Minion Pro"/>
          <w:sz w:val="24"/>
        </w:rPr>
      </w:pPr>
      <w:r>
        <w:rPr>
          <w:rFonts w:ascii="Minion Pro"/>
          <w:sz w:val="24"/>
        </w:rPr>
        <w:t xml:space="preserve">Recent publications are all uncredited, as I was not the lead researcher on the teams.  </w:t>
      </w:r>
    </w:p>
    <w:p w14:paraId="1835E193" w14:textId="3642695A" w:rsidR="00F046EA" w:rsidRPr="0013708E" w:rsidRDefault="008E68CC" w:rsidP="00081254">
      <w:pPr>
        <w:rPr>
          <w:b/>
        </w:rPr>
      </w:pPr>
      <w:r>
        <w:rPr>
          <w:rFonts w:ascii="Minion Pro"/>
          <w:sz w:val="24"/>
        </w:rPr>
        <w:t>I do not currently teach for the University of Missouri.</w:t>
      </w:r>
      <w:r w:rsidR="00081254">
        <w:rPr>
          <w:rFonts w:ascii="Minion Pro"/>
          <w:sz w:val="24"/>
        </w:rPr>
        <w:br/>
      </w:r>
      <w:r w:rsidR="00081254">
        <w:rPr>
          <w:rFonts w:ascii="Minion Pro"/>
          <w:sz w:val="24"/>
        </w:rPr>
        <w:br/>
      </w:r>
      <w:r w:rsidR="00F046EA" w:rsidRPr="0013708E">
        <w:rPr>
          <w:b/>
        </w:rPr>
        <w:t xml:space="preserve">Presenting author details </w:t>
      </w:r>
    </w:p>
    <w:p w14:paraId="661B9480" w14:textId="6327F9B5" w:rsidR="00F046EA" w:rsidRPr="0013708E" w:rsidRDefault="00F046EA" w:rsidP="00F046EA">
      <w:pPr>
        <w:jc w:val="both"/>
      </w:pPr>
      <w:r w:rsidRPr="0013708E">
        <w:t xml:space="preserve">Full name: </w:t>
      </w:r>
      <w:r w:rsidR="008E68CC">
        <w:t>James Craig</w:t>
      </w:r>
      <w:r w:rsidR="008E68CC">
        <w:tab/>
      </w:r>
    </w:p>
    <w:p w14:paraId="4B1CD302" w14:textId="4F12E45A" w:rsidR="00F046EA" w:rsidRDefault="00F046EA" w:rsidP="00F046EA">
      <w:pPr>
        <w:jc w:val="both"/>
      </w:pPr>
      <w:r w:rsidRPr="0013708E">
        <w:t>Contact number:</w:t>
      </w:r>
      <w:r w:rsidR="008E68CC">
        <w:t xml:space="preserve"> +1 720-277</w:t>
      </w:r>
      <w:r w:rsidR="007055D0">
        <w:t>-</w:t>
      </w:r>
      <w:r w:rsidR="008E68CC">
        <w:t>5446</w:t>
      </w:r>
      <w:bookmarkStart w:id="0" w:name="_GoBack"/>
      <w:bookmarkEnd w:id="0"/>
    </w:p>
    <w:p w14:paraId="2BD7CBC5" w14:textId="595FF24D" w:rsidR="00F046EA" w:rsidRPr="0013708E" w:rsidRDefault="00F046EA" w:rsidP="00F046EA">
      <w:pPr>
        <w:jc w:val="both"/>
      </w:pPr>
      <w:r>
        <w:t xml:space="preserve">Mail id: </w:t>
      </w:r>
      <w:r w:rsidR="007055D0">
        <w:t xml:space="preserve"> 14991 E Hampden Ave #370, Aurora, CO 80014</w:t>
      </w:r>
    </w:p>
    <w:p w14:paraId="10B10874" w14:textId="1E0A7069" w:rsidR="00AE3E37" w:rsidRDefault="00F046EA" w:rsidP="00017FD0">
      <w:pPr>
        <w:jc w:val="both"/>
        <w:rPr>
          <w:rFonts w:ascii="Minion Pro"/>
          <w:sz w:val="26"/>
        </w:rPr>
      </w:pPr>
      <w:r w:rsidRPr="0013708E">
        <w:t xml:space="preserve">Category: </w:t>
      </w:r>
      <w:r w:rsidR="007055D0">
        <w:t>Oral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A4CFA" w14:textId="77777777" w:rsidR="0049452A" w:rsidRDefault="0049452A">
      <w:r>
        <w:separator/>
      </w:r>
    </w:p>
  </w:endnote>
  <w:endnote w:type="continuationSeparator" w:id="0">
    <w:p w14:paraId="0D1DDDE9" w14:textId="77777777" w:rsidR="0049452A" w:rsidRDefault="0049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B8A9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70C5C9" wp14:editId="33608C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C4E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54D2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A70C5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8FC4E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54D2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9FFE9D0" wp14:editId="09B984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A54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675F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9FFE9D0"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D0A54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675F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D1F6467" wp14:editId="285B7FF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F7F8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0B60D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D1F646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E3F7F8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0B60D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BE391" w14:textId="77777777" w:rsidR="0049452A" w:rsidRDefault="0049452A">
      <w:r>
        <w:separator/>
      </w:r>
    </w:p>
  </w:footnote>
  <w:footnote w:type="continuationSeparator" w:id="0">
    <w:p w14:paraId="19D230E2" w14:textId="77777777" w:rsidR="0049452A" w:rsidRDefault="004945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0D9"/>
    <w:rsid w:val="00017FD0"/>
    <w:rsid w:val="000503E0"/>
    <w:rsid w:val="00081254"/>
    <w:rsid w:val="000E2911"/>
    <w:rsid w:val="001263DF"/>
    <w:rsid w:val="001D02FE"/>
    <w:rsid w:val="0027387E"/>
    <w:rsid w:val="00292ED9"/>
    <w:rsid w:val="003458F3"/>
    <w:rsid w:val="00351D9B"/>
    <w:rsid w:val="00380299"/>
    <w:rsid w:val="00404E5B"/>
    <w:rsid w:val="00414F7B"/>
    <w:rsid w:val="004355DC"/>
    <w:rsid w:val="004749B4"/>
    <w:rsid w:val="00494130"/>
    <w:rsid w:val="0049452A"/>
    <w:rsid w:val="004C6931"/>
    <w:rsid w:val="004E3089"/>
    <w:rsid w:val="004F3523"/>
    <w:rsid w:val="005973B9"/>
    <w:rsid w:val="005B3A56"/>
    <w:rsid w:val="005D7742"/>
    <w:rsid w:val="006060CE"/>
    <w:rsid w:val="0061505C"/>
    <w:rsid w:val="0063497F"/>
    <w:rsid w:val="006778D5"/>
    <w:rsid w:val="007055D0"/>
    <w:rsid w:val="00714354"/>
    <w:rsid w:val="00793854"/>
    <w:rsid w:val="00873DF0"/>
    <w:rsid w:val="008756E6"/>
    <w:rsid w:val="00897EC5"/>
    <w:rsid w:val="008C1B86"/>
    <w:rsid w:val="008E5477"/>
    <w:rsid w:val="008E68CC"/>
    <w:rsid w:val="009B2D44"/>
    <w:rsid w:val="00A07E82"/>
    <w:rsid w:val="00A52075"/>
    <w:rsid w:val="00A54F43"/>
    <w:rsid w:val="00A5775A"/>
    <w:rsid w:val="00A9710C"/>
    <w:rsid w:val="00AE3E37"/>
    <w:rsid w:val="00B21A57"/>
    <w:rsid w:val="00C33602"/>
    <w:rsid w:val="00C56C74"/>
    <w:rsid w:val="00CD6F55"/>
    <w:rsid w:val="00CE0E21"/>
    <w:rsid w:val="00D465B0"/>
    <w:rsid w:val="00D76717"/>
    <w:rsid w:val="00DE3104"/>
    <w:rsid w:val="00DE6170"/>
    <w:rsid w:val="00E30AAC"/>
    <w:rsid w:val="00E95D97"/>
    <w:rsid w:val="00EA32E1"/>
    <w:rsid w:val="00EA4B6D"/>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B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9708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3</cp:revision>
  <dcterms:created xsi:type="dcterms:W3CDTF">2022-11-15T07:53:00Z</dcterms:created>
  <dcterms:modified xsi:type="dcterms:W3CDTF">2023-02-15T12:33:00Z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