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0EBC83" w14:textId="02DE6B00" w:rsidR="00AE3E37" w:rsidRDefault="00CB54D8" w:rsidP="000534A1">
      <w:pPr>
        <w:pStyle w:val="Heading1"/>
        <w:spacing w:before="170"/>
        <w:ind w:left="0"/>
        <w:jc w:val="both"/>
      </w:pPr>
      <w:r>
        <w:rPr>
          <w:color w:val="337AB7"/>
        </w:rPr>
        <w:t xml:space="preserve">Cardiomyocyte Health </w:t>
      </w:r>
      <w:r w:rsidR="00A20287">
        <w:rPr>
          <w:color w:val="337AB7"/>
        </w:rPr>
        <w:t>and Preservation</w:t>
      </w:r>
      <w:bookmarkStart w:id="0" w:name="_GoBack"/>
      <w:bookmarkEnd w:id="0"/>
      <w:r w:rsidR="00B50EF3">
        <w:rPr>
          <w:color w:val="337AB7"/>
        </w:rPr>
        <w:t xml:space="preserve"> of Function is</w:t>
      </w:r>
      <w:r>
        <w:rPr>
          <w:color w:val="337AB7"/>
        </w:rPr>
        <w:t xml:space="preserve"> Dependent on the Capillary Cell 2-Step Dance</w:t>
      </w:r>
      <w:r w:rsidR="00853425">
        <w:rPr>
          <w:color w:val="337AB7"/>
        </w:rPr>
        <w:t>-Step Rhythm.</w:t>
      </w:r>
      <w:r>
        <w:rPr>
          <w:color w:val="337AB7"/>
        </w:rPr>
        <w:t xml:space="preserve"> </w:t>
      </w:r>
    </w:p>
    <w:p w14:paraId="490194B0" w14:textId="77777777" w:rsidR="00AE3E37" w:rsidRDefault="00AE3E37">
      <w:pPr>
        <w:rPr>
          <w:rFonts w:ascii="Arial"/>
          <w:sz w:val="21"/>
        </w:rPr>
      </w:pPr>
    </w:p>
    <w:p w14:paraId="1979C543" w14:textId="05BDAC43" w:rsidR="00CB54D8" w:rsidRDefault="00CB54D8">
      <w:pPr>
        <w:rPr>
          <w:rFonts w:ascii="Arial"/>
          <w:sz w:val="21"/>
        </w:rPr>
        <w:sectPr w:rsidR="00CB54D8" w:rsidSect="008E5477">
          <w:footerReference w:type="default" r:id="rId7"/>
          <w:type w:val="continuous"/>
          <w:pgSz w:w="11910" w:h="16840"/>
          <w:pgMar w:top="995" w:right="600" w:bottom="840" w:left="620" w:header="0" w:footer="0" w:gutter="0"/>
          <w:cols w:space="720"/>
          <w:docGrid w:linePitch="299"/>
        </w:sectPr>
      </w:pPr>
      <w:r>
        <w:rPr>
          <w:rFonts w:ascii="Arial"/>
          <w:sz w:val="21"/>
        </w:rPr>
        <w:t>Callen Moon and Robert Buckingham, MD, FACP</w:t>
      </w:r>
    </w:p>
    <w:p w14:paraId="5CB203EB" w14:textId="64AD39F0" w:rsidR="00AE3E37" w:rsidRDefault="00A9710C">
      <w:pPr>
        <w:pStyle w:val="Heading3"/>
        <w:spacing w:before="147"/>
        <w:jc w:val="both"/>
      </w:pPr>
      <w:r>
        <w:rPr>
          <w:color w:val="BF5A14"/>
        </w:rPr>
        <w:t>Abstract</w:t>
      </w:r>
    </w:p>
    <w:p w14:paraId="0ACA0DAA" w14:textId="29862AE7" w:rsidR="00BE1D39" w:rsidRDefault="00BE1D39" w:rsidP="00BE1D39">
      <w:pPr>
        <w:pStyle w:val="Heading3"/>
        <w:spacing w:before="74"/>
        <w:rPr>
          <w:b w:val="0"/>
        </w:rPr>
      </w:pPr>
      <w:r w:rsidRPr="00BE1D39">
        <w:rPr>
          <w:rFonts w:ascii="Tw Cen MT" w:eastAsia="Tw Cen MT" w:hAnsi="Tw Cen MT" w:cs="Tw Cen MT"/>
          <w:b w:val="0"/>
          <w:bCs w:val="0"/>
          <w:sz w:val="18"/>
          <w:szCs w:val="18"/>
        </w:rPr>
        <w:t>We postulate that in a healthy, precisely timed, and counterbalanced 2-step dance-step rhythm, interstitial space cells facilitate cardiomyocyte health and longevity</w:t>
      </w:r>
      <w:r w:rsidR="00B50EF3">
        <w:rPr>
          <w:rFonts w:ascii="Tw Cen MT" w:eastAsia="Tw Cen MT" w:hAnsi="Tw Cen MT" w:cs="Tw Cen MT"/>
          <w:b w:val="0"/>
          <w:bCs w:val="0"/>
          <w:sz w:val="18"/>
          <w:szCs w:val="18"/>
        </w:rPr>
        <w:t>.</w:t>
      </w:r>
      <w:r w:rsidRPr="00BE1D39">
        <w:rPr>
          <w:rFonts w:ascii="Tw Cen MT" w:eastAsia="Tw Cen MT" w:hAnsi="Tw Cen MT" w:cs="Tw Cen MT"/>
          <w:b w:val="0"/>
          <w:bCs w:val="0"/>
          <w:sz w:val="18"/>
          <w:szCs w:val="18"/>
        </w:rPr>
        <w:t xml:space="preserve"> Cardiomyocytes are workhorse cells that utilize oxidative phosphorylation (OXPHOS) for 95% of ATP production (1). With such a demanding role and low proliferative ability, the cardiomyocyte must rely on an external support system consisting of helper </w:t>
      </w:r>
      <w:r w:rsidR="00C76075">
        <w:rPr>
          <w:rFonts w:ascii="Tw Cen MT" w:eastAsia="Tw Cen MT" w:hAnsi="Tw Cen MT" w:cs="Tw Cen MT"/>
          <w:b w:val="0"/>
          <w:bCs w:val="0"/>
          <w:sz w:val="18"/>
          <w:szCs w:val="18"/>
        </w:rPr>
        <w:t xml:space="preserve">cells to preserve functionality. </w:t>
      </w:r>
      <w:r w:rsidRPr="00BE1D39">
        <w:rPr>
          <w:rFonts w:ascii="Tw Cen MT" w:eastAsia="Tw Cen MT" w:hAnsi="Tw Cen MT" w:cs="Tw Cen MT"/>
          <w:b w:val="0"/>
          <w:bCs w:val="0"/>
          <w:sz w:val="18"/>
          <w:szCs w:val="18"/>
        </w:rPr>
        <w:t xml:space="preserve">Such cells include the resident cardiac macrophage, progenitor cell, and fibroblast. </w:t>
      </w:r>
      <w:r w:rsidR="005F694B">
        <w:rPr>
          <w:rFonts w:ascii="Tw Cen MT" w:eastAsia="Tw Cen MT" w:hAnsi="Tw Cen MT" w:cs="Tw Cen MT"/>
          <w:b w:val="0"/>
          <w:bCs w:val="0"/>
          <w:sz w:val="18"/>
          <w:szCs w:val="18"/>
        </w:rPr>
        <w:t xml:space="preserve">The cardiac macrophage, with its intimate relationship to the cardiomyocyte may be capable of activating silenced cardiomyocyte embryonic genes through growth factors to replace cardiomyocyte infrastructure (3). </w:t>
      </w:r>
      <w:r w:rsidRPr="00BE1D39">
        <w:rPr>
          <w:rFonts w:ascii="Tw Cen MT" w:eastAsia="Tw Cen MT" w:hAnsi="Tw Cen MT" w:cs="Tw Cen MT"/>
          <w:b w:val="0"/>
          <w:bCs w:val="0"/>
          <w:sz w:val="18"/>
          <w:szCs w:val="18"/>
        </w:rPr>
        <w:t xml:space="preserve">In </w:t>
      </w:r>
      <w:r w:rsidR="00C76075">
        <w:rPr>
          <w:rFonts w:ascii="Tw Cen MT" w:eastAsia="Tw Cen MT" w:hAnsi="Tw Cen MT" w:cs="Tw Cen MT"/>
          <w:b w:val="0"/>
          <w:bCs w:val="0"/>
          <w:sz w:val="18"/>
          <w:szCs w:val="18"/>
        </w:rPr>
        <w:t xml:space="preserve">coordination with the capillary </w:t>
      </w:r>
      <w:r w:rsidRPr="00BE1D39">
        <w:rPr>
          <w:rFonts w:ascii="Tw Cen MT" w:eastAsia="Tw Cen MT" w:hAnsi="Tw Cen MT" w:cs="Tw Cen MT"/>
          <w:b w:val="0"/>
          <w:bCs w:val="0"/>
          <w:sz w:val="18"/>
          <w:szCs w:val="18"/>
        </w:rPr>
        <w:t>cell 2-step dance-step rhythm</w:t>
      </w:r>
      <w:r w:rsidR="00C76075">
        <w:rPr>
          <w:rFonts w:ascii="Tw Cen MT" w:eastAsia="Tw Cen MT" w:hAnsi="Tw Cen MT" w:cs="Tw Cen MT"/>
          <w:b w:val="0"/>
          <w:bCs w:val="0"/>
          <w:sz w:val="18"/>
          <w:szCs w:val="18"/>
        </w:rPr>
        <w:t>,</w:t>
      </w:r>
      <w:r w:rsidRPr="00BE1D39">
        <w:rPr>
          <w:rFonts w:ascii="Tw Cen MT" w:eastAsia="Tw Cen MT" w:hAnsi="Tw Cen MT" w:cs="Tw Cen MT"/>
          <w:b w:val="0"/>
          <w:bCs w:val="0"/>
          <w:sz w:val="18"/>
          <w:szCs w:val="18"/>
        </w:rPr>
        <w:t xml:space="preserve"> cardiomyocytes predominantly utilize OXPHOS whil</w:t>
      </w:r>
      <w:r w:rsidR="00B50EF3">
        <w:rPr>
          <w:rFonts w:ascii="Tw Cen MT" w:eastAsia="Tw Cen MT" w:hAnsi="Tw Cen MT" w:cs="Tw Cen MT"/>
          <w:b w:val="0"/>
          <w:bCs w:val="0"/>
          <w:sz w:val="18"/>
          <w:szCs w:val="18"/>
        </w:rPr>
        <w:t>e the capillary cell and helper</w:t>
      </w:r>
      <w:r w:rsidRPr="00BE1D39">
        <w:rPr>
          <w:rFonts w:ascii="Tw Cen MT" w:eastAsia="Tw Cen MT" w:hAnsi="Tw Cen MT" w:cs="Tw Cen MT"/>
          <w:b w:val="0"/>
          <w:bCs w:val="0"/>
          <w:sz w:val="18"/>
          <w:szCs w:val="18"/>
        </w:rPr>
        <w:t xml:space="preserve"> cells use nitric oxide production and a modi</w:t>
      </w:r>
      <w:r w:rsidR="005F694B">
        <w:rPr>
          <w:rFonts w:ascii="Tw Cen MT" w:eastAsia="Tw Cen MT" w:hAnsi="Tw Cen MT" w:cs="Tw Cen MT"/>
          <w:b w:val="0"/>
          <w:bCs w:val="0"/>
          <w:sz w:val="18"/>
          <w:szCs w:val="18"/>
        </w:rPr>
        <w:t>fied TCA cycle</w:t>
      </w:r>
      <w:r>
        <w:rPr>
          <w:rFonts w:ascii="Tw Cen MT" w:eastAsia="Tw Cen MT" w:hAnsi="Tw Cen MT" w:cs="Tw Cen MT"/>
          <w:b w:val="0"/>
          <w:bCs w:val="0"/>
          <w:sz w:val="18"/>
          <w:szCs w:val="18"/>
        </w:rPr>
        <w:t xml:space="preserve"> (2). </w:t>
      </w:r>
      <w:r w:rsidRPr="00BE1D39">
        <w:rPr>
          <w:rFonts w:ascii="Tw Cen MT" w:eastAsia="Tw Cen MT" w:hAnsi="Tw Cen MT" w:cs="Tw Cen MT"/>
          <w:b w:val="0"/>
          <w:bCs w:val="0"/>
          <w:sz w:val="18"/>
          <w:szCs w:val="18"/>
        </w:rPr>
        <w:t>Coordinated with interstitial space sanitation and inflammatory mediators, the helper cells facilitate a cytokine excitatory signal to the capillary cell causing an increase in luminal permea</w:t>
      </w:r>
      <w:r>
        <w:rPr>
          <w:rFonts w:ascii="Tw Cen MT" w:eastAsia="Tw Cen MT" w:hAnsi="Tw Cen MT" w:cs="Tw Cen MT"/>
          <w:b w:val="0"/>
          <w:bCs w:val="0"/>
          <w:sz w:val="18"/>
          <w:szCs w:val="18"/>
        </w:rPr>
        <w:t>bility to plasma immune arsenal (2).</w:t>
      </w:r>
      <w:r w:rsidRPr="00BE1D39">
        <w:rPr>
          <w:rFonts w:ascii="Tw Cen MT" w:eastAsia="Tw Cen MT" w:hAnsi="Tw Cen MT" w:cs="Tw Cen MT"/>
          <w:b w:val="0"/>
          <w:bCs w:val="0"/>
          <w:sz w:val="18"/>
          <w:szCs w:val="18"/>
        </w:rPr>
        <w:t xml:space="preserve"> Increased permeability requires immediate and abundant ATP provided by a simultaneous swing to OXPHOS. Similarly, helper cells respond to the capillary cell and also swing combustion to OXPHOS for the purpose of interstitial space sanitation, extracellular matrix repair, and cardiomyocyte repair/proliferation</w:t>
      </w:r>
      <w:r w:rsidR="005F694B">
        <w:rPr>
          <w:rFonts w:ascii="Tw Cen MT" w:eastAsia="Tw Cen MT" w:hAnsi="Tw Cen MT" w:cs="Tw Cen MT"/>
          <w:b w:val="0"/>
          <w:bCs w:val="0"/>
          <w:sz w:val="18"/>
          <w:szCs w:val="18"/>
        </w:rPr>
        <w:t xml:space="preserve"> (4-7</w:t>
      </w:r>
      <w:r w:rsidR="00F85CA0">
        <w:rPr>
          <w:rFonts w:ascii="Tw Cen MT" w:eastAsia="Tw Cen MT" w:hAnsi="Tw Cen MT" w:cs="Tw Cen MT"/>
          <w:b w:val="0"/>
          <w:bCs w:val="0"/>
          <w:sz w:val="18"/>
          <w:szCs w:val="18"/>
        </w:rPr>
        <w:t>)</w:t>
      </w:r>
      <w:r w:rsidRPr="00BE1D39">
        <w:rPr>
          <w:rFonts w:ascii="Tw Cen MT" w:eastAsia="Tw Cen MT" w:hAnsi="Tw Cen MT" w:cs="Tw Cen MT"/>
          <w:b w:val="0"/>
          <w:bCs w:val="0"/>
          <w:sz w:val="18"/>
          <w:szCs w:val="18"/>
        </w:rPr>
        <w:t>. In contrast, the cardiomyocyte responds to the capillary cell by decreasing permeability to a hostile interstitial sp</w:t>
      </w:r>
      <w:r w:rsidR="00C76075">
        <w:rPr>
          <w:rFonts w:ascii="Tw Cen MT" w:eastAsia="Tw Cen MT" w:hAnsi="Tw Cen MT" w:cs="Tw Cen MT"/>
          <w:b w:val="0"/>
          <w:bCs w:val="0"/>
          <w:sz w:val="18"/>
          <w:szCs w:val="18"/>
        </w:rPr>
        <w:t xml:space="preserve">ace and swings to </w:t>
      </w:r>
      <w:r w:rsidRPr="00BE1D39">
        <w:rPr>
          <w:rFonts w:ascii="Tw Cen MT" w:eastAsia="Tw Cen MT" w:hAnsi="Tw Cen MT" w:cs="Tw Cen MT"/>
          <w:b w:val="0"/>
          <w:bCs w:val="0"/>
          <w:sz w:val="18"/>
          <w:szCs w:val="18"/>
        </w:rPr>
        <w:t>nitric oxide production</w:t>
      </w:r>
      <w:r w:rsidR="00F85CA0">
        <w:rPr>
          <w:rFonts w:ascii="Tw Cen MT" w:eastAsia="Tw Cen MT" w:hAnsi="Tw Cen MT" w:cs="Tw Cen MT"/>
          <w:b w:val="0"/>
          <w:bCs w:val="0"/>
          <w:sz w:val="18"/>
          <w:szCs w:val="18"/>
        </w:rPr>
        <w:t xml:space="preserve"> (2)</w:t>
      </w:r>
      <w:r w:rsidRPr="00BE1D39">
        <w:rPr>
          <w:rFonts w:ascii="Tw Cen MT" w:eastAsia="Tw Cen MT" w:hAnsi="Tw Cen MT" w:cs="Tw Cen MT"/>
          <w:b w:val="0"/>
          <w:bCs w:val="0"/>
          <w:sz w:val="18"/>
          <w:szCs w:val="18"/>
        </w:rPr>
        <w:t>. Once interstitial space sanitation is achieved, the capillary and helper cells swing back to nitric oxide production and</w:t>
      </w:r>
      <w:r>
        <w:rPr>
          <w:rFonts w:ascii="Tw Cen MT" w:eastAsia="Tw Cen MT" w:hAnsi="Tw Cen MT" w:cs="Tw Cen MT"/>
          <w:b w:val="0"/>
          <w:bCs w:val="0"/>
          <w:sz w:val="18"/>
          <w:szCs w:val="18"/>
        </w:rPr>
        <w:t xml:space="preserve"> decrease luminal permeability </w:t>
      </w:r>
      <w:r w:rsidRPr="00BE1D39">
        <w:rPr>
          <w:rFonts w:ascii="Tw Cen MT" w:eastAsia="Tw Cen MT" w:hAnsi="Tw Cen MT" w:cs="Tw Cen MT"/>
          <w:b w:val="0"/>
          <w:bCs w:val="0"/>
          <w:sz w:val="18"/>
          <w:szCs w:val="18"/>
        </w:rPr>
        <w:t>while the cardiomyocyte increases permeability to a sanitized interstitial space</w:t>
      </w:r>
      <w:r w:rsidR="0040277C">
        <w:rPr>
          <w:rFonts w:ascii="Tw Cen MT" w:eastAsia="Tw Cen MT" w:hAnsi="Tw Cen MT" w:cs="Tw Cen MT"/>
          <w:b w:val="0"/>
          <w:bCs w:val="0"/>
          <w:sz w:val="18"/>
          <w:szCs w:val="18"/>
        </w:rPr>
        <w:t xml:space="preserve"> and resumes OXPHOS. As such, during the macrophage OXPHOS pha</w:t>
      </w:r>
      <w:r w:rsidR="001C481A">
        <w:rPr>
          <w:rFonts w:ascii="Tw Cen MT" w:eastAsia="Tw Cen MT" w:hAnsi="Tw Cen MT" w:cs="Tw Cen MT"/>
          <w:b w:val="0"/>
          <w:bCs w:val="0"/>
          <w:sz w:val="18"/>
          <w:szCs w:val="18"/>
        </w:rPr>
        <w:t>se</w:t>
      </w:r>
      <w:r w:rsidR="0040277C">
        <w:rPr>
          <w:rFonts w:ascii="Tw Cen MT" w:eastAsia="Tw Cen MT" w:hAnsi="Tw Cen MT" w:cs="Tw Cen MT"/>
          <w:b w:val="0"/>
          <w:bCs w:val="0"/>
          <w:sz w:val="18"/>
          <w:szCs w:val="18"/>
        </w:rPr>
        <w:t xml:space="preserve"> it becomes </w:t>
      </w:r>
      <w:r w:rsidR="0040277C">
        <w:rPr>
          <w:rFonts w:ascii="Tw Cen MT" w:eastAsia="Tw Cen MT" w:hAnsi="Tw Cen MT" w:cs="Tw Cen MT"/>
          <w:b w:val="0"/>
          <w:bCs w:val="0"/>
          <w:sz w:val="18"/>
          <w:szCs w:val="18"/>
        </w:rPr>
        <w:t>essential to cardiomyoc</w:t>
      </w:r>
      <w:r w:rsidR="001C481A">
        <w:rPr>
          <w:rFonts w:ascii="Tw Cen MT" w:eastAsia="Tw Cen MT" w:hAnsi="Tw Cen MT" w:cs="Tw Cen MT"/>
          <w:b w:val="0"/>
          <w:bCs w:val="0"/>
          <w:sz w:val="18"/>
          <w:szCs w:val="18"/>
        </w:rPr>
        <w:t xml:space="preserve">yte repair. </w:t>
      </w:r>
      <w:r w:rsidR="005F694B">
        <w:rPr>
          <w:rFonts w:ascii="Tw Cen MT" w:eastAsia="Tw Cen MT" w:hAnsi="Tw Cen MT" w:cs="Tw Cen MT"/>
          <w:b w:val="0"/>
          <w:bCs w:val="0"/>
          <w:sz w:val="18"/>
          <w:szCs w:val="18"/>
        </w:rPr>
        <w:t>In a counterbalanced 2-step dance-step rhythm the macrophage accomplishes both cardiomyocyte repair and interstitial space</w:t>
      </w:r>
      <w:r w:rsidR="0081058C">
        <w:rPr>
          <w:rFonts w:ascii="Tw Cen MT" w:eastAsia="Tw Cen MT" w:hAnsi="Tw Cen MT" w:cs="Tw Cen MT"/>
          <w:b w:val="0"/>
          <w:bCs w:val="0"/>
          <w:sz w:val="18"/>
          <w:szCs w:val="18"/>
        </w:rPr>
        <w:t xml:space="preserve"> phagocytosis during OXPHOS</w:t>
      </w:r>
      <w:r w:rsidR="005F694B">
        <w:rPr>
          <w:rFonts w:ascii="Tw Cen MT" w:eastAsia="Tw Cen MT" w:hAnsi="Tw Cen MT" w:cs="Tw Cen MT"/>
          <w:b w:val="0"/>
          <w:bCs w:val="0"/>
          <w:sz w:val="18"/>
          <w:szCs w:val="18"/>
        </w:rPr>
        <w:t xml:space="preserve"> for the purpose of pre</w:t>
      </w:r>
      <w:r w:rsidR="00A20287">
        <w:rPr>
          <w:rFonts w:ascii="Tw Cen MT" w:eastAsia="Tw Cen MT" w:hAnsi="Tw Cen MT" w:cs="Tw Cen MT"/>
          <w:b w:val="0"/>
          <w:bCs w:val="0"/>
          <w:sz w:val="18"/>
          <w:szCs w:val="18"/>
        </w:rPr>
        <w:t>served end organ functionality.</w:t>
      </w:r>
    </w:p>
    <w:p w14:paraId="4EA48B6B" w14:textId="13DD9922" w:rsidR="005973B9" w:rsidRPr="00BE1D39" w:rsidRDefault="005338A7" w:rsidP="00BE1D39">
      <w:pPr>
        <w:pStyle w:val="Heading3"/>
        <w:spacing w:before="74"/>
      </w:pPr>
      <w:r>
        <w:rPr>
          <w:color w:val="BF5A14"/>
        </w:rPr>
        <w:br/>
        <w:t>Recent Publications</w:t>
      </w:r>
    </w:p>
    <w:p w14:paraId="3DD73EFA" w14:textId="77777777" w:rsidR="005338A7" w:rsidRPr="005338A7" w:rsidRDefault="005338A7" w:rsidP="005338A7">
      <w:pPr>
        <w:tabs>
          <w:tab w:val="left" w:pos="384"/>
        </w:tabs>
        <w:ind w:right="117"/>
        <w:rPr>
          <w:rFonts w:ascii="Calibri" w:eastAsia="Calibri" w:hAnsi="Calibri" w:cs="Calibri"/>
          <w:sz w:val="18"/>
        </w:rPr>
      </w:pPr>
      <w:r w:rsidRPr="005338A7">
        <w:rPr>
          <w:rFonts w:ascii="Calibri" w:eastAsia="Calibri" w:hAnsi="Calibri" w:cs="Calibri"/>
          <w:b/>
          <w:bCs/>
          <w:sz w:val="18"/>
        </w:rPr>
        <w:t xml:space="preserve">Buckingham, R. (2017). </w:t>
      </w:r>
      <w:r w:rsidRPr="005338A7">
        <w:rPr>
          <w:rFonts w:ascii="Calibri" w:eastAsia="Calibri" w:hAnsi="Calibri" w:cs="Calibri"/>
          <w:i/>
          <w:iCs/>
          <w:sz w:val="18"/>
        </w:rPr>
        <w:t>Rejuvination | How the Capillary Cell Dance Blocks Aging while Decreasing Pain and Fatigue</w:t>
      </w:r>
      <w:r w:rsidRPr="005338A7">
        <w:rPr>
          <w:rFonts w:ascii="Calibri" w:eastAsia="Calibri" w:hAnsi="Calibri" w:cs="Calibri"/>
          <w:sz w:val="18"/>
        </w:rPr>
        <w:t xml:space="preserve"> (1st ed.). iUniverse.</w:t>
      </w:r>
    </w:p>
    <w:p w14:paraId="0597D457" w14:textId="77777777" w:rsidR="005338A7" w:rsidRPr="005338A7" w:rsidRDefault="005338A7" w:rsidP="005338A7">
      <w:pPr>
        <w:tabs>
          <w:tab w:val="left" w:pos="384"/>
        </w:tabs>
        <w:ind w:right="117"/>
        <w:rPr>
          <w:rFonts w:ascii="Calibri" w:eastAsia="Calibri" w:hAnsi="Calibri" w:cs="Calibri"/>
          <w:sz w:val="18"/>
          <w:lang w:val="en-GB"/>
        </w:rPr>
      </w:pPr>
    </w:p>
    <w:p w14:paraId="2CB9C714" w14:textId="77777777" w:rsidR="005338A7" w:rsidRPr="005338A7" w:rsidRDefault="005338A7" w:rsidP="005338A7">
      <w:pPr>
        <w:tabs>
          <w:tab w:val="left" w:pos="384"/>
        </w:tabs>
        <w:ind w:right="117"/>
        <w:rPr>
          <w:rFonts w:ascii="Calibri" w:eastAsia="Calibri" w:hAnsi="Calibri" w:cs="Calibri"/>
          <w:b/>
          <w:bCs/>
          <w:sz w:val="18"/>
        </w:rPr>
      </w:pPr>
      <w:r w:rsidRPr="005338A7">
        <w:rPr>
          <w:rFonts w:ascii="Calibri" w:eastAsia="Calibri" w:hAnsi="Calibri" w:cs="Calibri"/>
          <w:b/>
          <w:bCs/>
          <w:sz w:val="18"/>
        </w:rPr>
        <w:t xml:space="preserve">Buckingham, R. (2019). </w:t>
      </w:r>
      <w:r w:rsidRPr="005338A7">
        <w:rPr>
          <w:rFonts w:ascii="Calibri" w:eastAsia="Calibri" w:hAnsi="Calibri" w:cs="Calibri"/>
          <w:i/>
          <w:iCs/>
          <w:sz w:val="18"/>
        </w:rPr>
        <w:t>Rejuvination 2.0 | How the Capillary-Cell Dance Paces and Stems Interstitial Space Sanitation and End Organ Rejuvination to Resolve Disease, Pain, and Fatigue.</w:t>
      </w:r>
      <w:r w:rsidRPr="005338A7">
        <w:rPr>
          <w:rFonts w:ascii="Calibri" w:eastAsia="Calibri" w:hAnsi="Calibri" w:cs="Calibri"/>
          <w:sz w:val="18"/>
        </w:rPr>
        <w:t xml:space="preserve"> Litfire Pub., INC.</w:t>
      </w:r>
    </w:p>
    <w:p w14:paraId="6E1709F4" w14:textId="77777777" w:rsidR="005338A7" w:rsidRPr="005338A7" w:rsidRDefault="005338A7" w:rsidP="005338A7">
      <w:pPr>
        <w:tabs>
          <w:tab w:val="left" w:pos="384"/>
        </w:tabs>
        <w:ind w:right="117"/>
        <w:rPr>
          <w:rFonts w:ascii="Calibri" w:eastAsia="Calibri" w:hAnsi="Calibri" w:cs="Calibri"/>
          <w:b/>
          <w:bCs/>
          <w:sz w:val="18"/>
        </w:rPr>
      </w:pPr>
    </w:p>
    <w:p w14:paraId="04E5BE9E" w14:textId="77777777" w:rsidR="005338A7" w:rsidRPr="005338A7" w:rsidRDefault="005338A7" w:rsidP="005338A7">
      <w:pPr>
        <w:tabs>
          <w:tab w:val="left" w:pos="384"/>
        </w:tabs>
        <w:ind w:right="117"/>
        <w:rPr>
          <w:rFonts w:ascii="Calibri" w:eastAsia="Calibri" w:hAnsi="Calibri" w:cs="Calibri"/>
          <w:sz w:val="18"/>
        </w:rPr>
      </w:pPr>
      <w:r w:rsidRPr="005338A7">
        <w:rPr>
          <w:rFonts w:ascii="Calibri" w:eastAsia="Calibri" w:hAnsi="Calibri" w:cs="Calibri"/>
          <w:b/>
          <w:bCs/>
          <w:sz w:val="18"/>
        </w:rPr>
        <w:t xml:space="preserve">Buckingham, R. (2018). </w:t>
      </w:r>
      <w:r w:rsidRPr="005338A7">
        <w:rPr>
          <w:rFonts w:ascii="Calibri" w:eastAsia="Calibri" w:hAnsi="Calibri" w:cs="Calibri"/>
          <w:i/>
          <w:iCs/>
          <w:sz w:val="18"/>
        </w:rPr>
        <w:t>The Superoxide Tsunami: The Gutting of the BBB Capillary Cell from the Inside Out</w:t>
      </w:r>
      <w:r w:rsidRPr="005338A7">
        <w:rPr>
          <w:rFonts w:ascii="Calibri" w:eastAsia="Calibri" w:hAnsi="Calibri" w:cs="Calibri"/>
          <w:sz w:val="18"/>
        </w:rPr>
        <w:t xml:space="preserve">. </w:t>
      </w:r>
      <w:hyperlink r:id="rId8" w:history="1">
        <w:r w:rsidRPr="005338A7">
          <w:rPr>
            <w:rStyle w:val="Hyperlink"/>
            <w:rFonts w:ascii="Calibri" w:eastAsia="Calibri" w:hAnsi="Calibri" w:cs="Calibri"/>
            <w:sz w:val="18"/>
          </w:rPr>
          <w:t>https://www.researchgate.net/publication/328538530_Title_The_Superoxide_Tsunami_The_Gutting_of_the_BBB_Capillary_Cell_from_the_Inside_Out</w:t>
        </w:r>
      </w:hyperlink>
    </w:p>
    <w:p w14:paraId="7CCE794E" w14:textId="77777777" w:rsidR="005338A7" w:rsidRPr="005338A7" w:rsidRDefault="005338A7" w:rsidP="005338A7">
      <w:pPr>
        <w:tabs>
          <w:tab w:val="left" w:pos="384"/>
        </w:tabs>
        <w:ind w:right="117"/>
        <w:rPr>
          <w:rFonts w:ascii="Calibri" w:eastAsia="Calibri" w:hAnsi="Calibri" w:cs="Calibri"/>
          <w:sz w:val="18"/>
          <w:lang w:val="en-GB"/>
        </w:rPr>
      </w:pPr>
    </w:p>
    <w:p w14:paraId="1810913C" w14:textId="77777777" w:rsidR="005338A7" w:rsidRPr="005338A7" w:rsidRDefault="005338A7" w:rsidP="005338A7">
      <w:pPr>
        <w:tabs>
          <w:tab w:val="left" w:pos="384"/>
        </w:tabs>
        <w:ind w:right="117"/>
        <w:rPr>
          <w:rFonts w:ascii="Calibri" w:eastAsia="Calibri" w:hAnsi="Calibri" w:cs="Calibri"/>
          <w:b/>
          <w:bCs/>
          <w:sz w:val="18"/>
        </w:rPr>
      </w:pPr>
      <w:r w:rsidRPr="005338A7">
        <w:rPr>
          <w:rFonts w:ascii="Calibri" w:eastAsia="Calibri" w:hAnsi="Calibri" w:cs="Calibri"/>
          <w:b/>
          <w:bCs/>
          <w:sz w:val="18"/>
        </w:rPr>
        <w:t xml:space="preserve">Buckingham, R. (2018). </w:t>
      </w:r>
      <w:r w:rsidRPr="005338A7">
        <w:rPr>
          <w:rFonts w:ascii="Calibri" w:eastAsia="Calibri" w:hAnsi="Calibri" w:cs="Calibri"/>
          <w:i/>
          <w:iCs/>
          <w:sz w:val="18"/>
        </w:rPr>
        <w:t>Trafficking | How Chronic Inflammation Sabotages the Immune Arsenal and Poisons the Interstitial Space of End Organs</w:t>
      </w:r>
      <w:r w:rsidRPr="005338A7">
        <w:rPr>
          <w:rFonts w:ascii="Calibri" w:eastAsia="Calibri" w:hAnsi="Calibri" w:cs="Calibri"/>
          <w:sz w:val="18"/>
        </w:rPr>
        <w:t xml:space="preserve"> (1st ed.). Litfire Pub., INC.</w:t>
      </w:r>
    </w:p>
    <w:p w14:paraId="78846220" w14:textId="7442B5ED" w:rsidR="00AE3E37" w:rsidRPr="005338A7" w:rsidRDefault="005338A7" w:rsidP="008756E6">
      <w:pPr>
        <w:tabs>
          <w:tab w:val="left" w:pos="384"/>
        </w:tabs>
        <w:ind w:right="117"/>
        <w:rPr>
          <w:rFonts w:ascii="Calibri" w:eastAsia="Calibri" w:hAnsi="Calibri" w:cs="Calibri"/>
          <w:b/>
          <w:bCs/>
          <w:sz w:val="18"/>
        </w:rPr>
      </w:pPr>
      <w:r w:rsidRPr="005338A7">
        <w:rPr>
          <w:rFonts w:ascii="Calibri" w:eastAsia="Calibri" w:hAnsi="Calibri" w:cs="Calibri"/>
          <w:sz w:val="18"/>
          <w:lang w:val="en-GB"/>
        </w:rPr>
        <w:br/>
      </w:r>
      <w:r w:rsidRPr="005338A7">
        <w:rPr>
          <w:rFonts w:ascii="Calibri" w:eastAsia="Calibri" w:hAnsi="Calibri" w:cs="Calibri"/>
          <w:b/>
          <w:bCs/>
          <w:sz w:val="18"/>
        </w:rPr>
        <w:t xml:space="preserve">Buckingham, R. L. (2018). </w:t>
      </w:r>
      <w:r w:rsidRPr="005338A7">
        <w:rPr>
          <w:rFonts w:ascii="Calibri" w:eastAsia="Calibri" w:hAnsi="Calibri" w:cs="Calibri"/>
          <w:i/>
          <w:iCs/>
          <w:sz w:val="18"/>
        </w:rPr>
        <w:t>Silencing Neurodegeneration by Reducing Vascular Inflammatory Free Radicals and Unleashing the Capillary Cell Dance</w:t>
      </w:r>
      <w:r w:rsidRPr="005338A7">
        <w:rPr>
          <w:rFonts w:ascii="Calibri" w:eastAsia="Calibri" w:hAnsi="Calibri" w:cs="Calibri"/>
          <w:sz w:val="18"/>
        </w:rPr>
        <w:t xml:space="preserve">. </w:t>
      </w:r>
      <w:hyperlink r:id="rId9" w:history="1">
        <w:r w:rsidRPr="005338A7">
          <w:rPr>
            <w:rStyle w:val="Hyperlink"/>
            <w:rFonts w:ascii="Calibri" w:eastAsia="Calibri" w:hAnsi="Calibri" w:cs="Calibri"/>
            <w:sz w:val="18"/>
          </w:rPr>
          <w:t>https://doi.org/10.13140/RG.2.2.20786.45761</w:t>
        </w:r>
      </w:hyperlink>
    </w:p>
    <w:p w14:paraId="09B560E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E52904D" w14:textId="77777777" w:rsidR="00AE3E37" w:rsidRDefault="00AE3E37">
      <w:pPr>
        <w:pStyle w:val="BodyText"/>
        <w:rPr>
          <w:rFonts w:ascii="Calibri"/>
          <w:sz w:val="20"/>
        </w:rPr>
      </w:pPr>
    </w:p>
    <w:p w14:paraId="1076976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69B8771" wp14:editId="27A7E13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F6072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09B9540" w14:textId="70BCC8C9" w:rsidR="00AE3E37" w:rsidRDefault="008756E6" w:rsidP="00404E5B">
      <w:pPr>
        <w:spacing w:before="92"/>
        <w:ind w:right="4234"/>
        <w:rPr>
          <w:rFonts w:ascii="Arial"/>
        </w:rPr>
      </w:pPr>
      <w:r>
        <w:rPr>
          <w:noProof/>
        </w:rPr>
        <w:t xml:space="preserve">              </w:t>
      </w:r>
      <w:r w:rsidR="00A9710C">
        <w:rPr>
          <w:rFonts w:ascii="Arial"/>
          <w:color w:val="BF5A14"/>
        </w:rPr>
        <w:t>Biography</w:t>
      </w:r>
      <w:r w:rsidR="00A52075" w:rsidRPr="00A52075">
        <w:rPr>
          <w:rFonts w:ascii="Times New Roman" w:hAnsi="Times New Roman" w:cs="Times New Roman"/>
          <w:sz w:val="24"/>
          <w:szCs w:val="24"/>
        </w:rPr>
        <w:t xml:space="preserve"> </w:t>
      </w:r>
    </w:p>
    <w:p w14:paraId="0C142F68" w14:textId="77777777" w:rsidR="005338A7" w:rsidRPr="005338A7" w:rsidRDefault="005338A7" w:rsidP="005338A7">
      <w:pPr>
        <w:spacing w:before="41" w:line="154" w:lineRule="exact"/>
        <w:ind w:left="213" w:right="231"/>
        <w:jc w:val="both"/>
        <w:rPr>
          <w:rFonts w:ascii="Arial"/>
          <w:sz w:val="14"/>
        </w:rPr>
      </w:pPr>
      <w:r w:rsidRPr="005338A7">
        <w:rPr>
          <w:rFonts w:ascii="Arial"/>
          <w:sz w:val="14"/>
        </w:rPr>
        <w:t xml:space="preserve">Callen Moon completed his B.S. from Fresno Pacific University and is pursuing a career in medicine with a keen interest for medical research. Robert Buckingham, MD, FACP, received his M.D from University of Illinois, Chicago, residency at Northwestern University, and has been a practicing internist for 43 years. In addition to internal medicine, Robert Buckingham subspecializes in cardiometabolics. He also holds several medical director positions and has published five books regarding chronic inflammation and metabolism. </w:t>
      </w:r>
    </w:p>
    <w:p w14:paraId="776E81D0" w14:textId="58C94F27" w:rsidR="00AE3E37" w:rsidRDefault="00A9710C">
      <w:pPr>
        <w:spacing w:before="62"/>
        <w:ind w:left="4217" w:right="4235"/>
        <w:jc w:val="center"/>
        <w:rPr>
          <w:rFonts w:ascii="Arial"/>
          <w:sz w:val="14"/>
        </w:rPr>
      </w:pPr>
      <w:r>
        <w:rPr>
          <w:rFonts w:ascii="Arial"/>
          <w:sz w:val="14"/>
        </w:rPr>
        <w:t xml:space="preserve">Email: </w:t>
      </w:r>
      <w:r w:rsidR="00BE1D39">
        <w:rPr>
          <w:rStyle w:val="Hyperlink"/>
          <w:rFonts w:ascii="Arial"/>
          <w:sz w:val="14"/>
        </w:rPr>
        <w:t>drrlbuckingahm@yahoo.com</w:t>
      </w:r>
    </w:p>
    <w:p w14:paraId="378F0ECA" w14:textId="1379028C" w:rsidR="00BE1D39" w:rsidRPr="00B8394A" w:rsidRDefault="00292ED9" w:rsidP="00B8394A">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1AF7E53" wp14:editId="448DE54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31838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63727F7" w14:textId="77777777" w:rsidR="00BE1D39" w:rsidRDefault="00BE1D39" w:rsidP="00BE1D39">
      <w:pPr>
        <w:spacing w:before="39"/>
        <w:ind w:left="100"/>
        <w:rPr>
          <w:rFonts w:ascii="Minion Pro"/>
          <w:b/>
          <w:sz w:val="20"/>
        </w:rPr>
      </w:pPr>
    </w:p>
    <w:p w14:paraId="0D04D446" w14:textId="77777777" w:rsidR="00BE1D39" w:rsidRDefault="00BE1D39" w:rsidP="00BE1D39">
      <w:pPr>
        <w:spacing w:before="39"/>
        <w:ind w:left="100"/>
        <w:rPr>
          <w:rFonts w:ascii="Minion Pro"/>
          <w:b/>
          <w:sz w:val="20"/>
        </w:rPr>
      </w:pPr>
    </w:p>
    <w:p w14:paraId="7BCFC1F0" w14:textId="77777777" w:rsidR="00B8394A" w:rsidRDefault="00BE1D39" w:rsidP="00BE1D39">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Pr>
          <w:sz w:val="20"/>
          <w:szCs w:val="20"/>
          <w:lang w:val="en-NZ"/>
        </w:rPr>
        <w:t>Robert Buckingham</w:t>
      </w:r>
    </w:p>
    <w:p w14:paraId="590D59D3" w14:textId="135438E0" w:rsidR="00BE1D39" w:rsidRPr="00B8394A" w:rsidRDefault="00B8394A" w:rsidP="00BE1D39">
      <w:pPr>
        <w:autoSpaceDE w:val="0"/>
        <w:autoSpaceDN w:val="0"/>
        <w:adjustRightInd w:val="0"/>
        <w:rPr>
          <w:b/>
          <w:sz w:val="20"/>
          <w:szCs w:val="20"/>
          <w:lang w:val="en-NZ"/>
        </w:rPr>
        <w:sectPr w:rsidR="00BE1D39" w:rsidRPr="00B8394A" w:rsidSect="008E5477">
          <w:type w:val="continuous"/>
          <w:pgSz w:w="11910" w:h="16840"/>
          <w:pgMar w:top="995" w:right="600" w:bottom="840" w:left="620" w:header="720" w:footer="720" w:gutter="0"/>
          <w:cols w:space="720"/>
        </w:sectPr>
      </w:pPr>
      <w:r>
        <w:rPr>
          <w:sz w:val="20"/>
          <w:szCs w:val="20"/>
          <w:lang w:val="en-NZ"/>
        </w:rPr>
        <w:t>115 Pirie Road Suite D, Ojai, CA 93023</w:t>
      </w:r>
      <w:r w:rsidR="00BE1D39" w:rsidRPr="00F35A62">
        <w:rPr>
          <w:sz w:val="20"/>
          <w:szCs w:val="20"/>
          <w:lang w:val="en-NZ"/>
        </w:rPr>
        <w:br/>
        <w:t>Contact number:</w:t>
      </w:r>
      <w:r>
        <w:rPr>
          <w:sz w:val="20"/>
          <w:szCs w:val="20"/>
          <w:lang w:val="en-NZ"/>
        </w:rPr>
        <w:t xml:space="preserve"> (805) 798-3481</w:t>
      </w:r>
      <w:r w:rsidR="00BE1D39" w:rsidRPr="00F35A62">
        <w:rPr>
          <w:sz w:val="20"/>
          <w:szCs w:val="20"/>
          <w:lang w:val="en-NZ"/>
        </w:rPr>
        <w:br/>
        <w:t xml:space="preserve">Category: Oral </w:t>
      </w:r>
      <w:r w:rsidR="00BE1D39">
        <w:rPr>
          <w:sz w:val="20"/>
          <w:szCs w:val="20"/>
          <w:lang w:val="en-NZ"/>
        </w:rPr>
        <w:t>presentati</w:t>
      </w:r>
      <w:r>
        <w:rPr>
          <w:sz w:val="20"/>
          <w:szCs w:val="20"/>
          <w:lang w:val="en-NZ"/>
        </w:rPr>
        <w:t>o</w:t>
      </w:r>
      <w:r w:rsidR="00CE2613">
        <w:rPr>
          <w:sz w:val="20"/>
          <w:szCs w:val="20"/>
          <w:lang w:val="en-NZ"/>
        </w:rPr>
        <w:t>n</w:t>
      </w:r>
    </w:p>
    <w:p w14:paraId="1F481F07" w14:textId="77777777" w:rsidR="00AE3E37" w:rsidRDefault="00AE3E37">
      <w:pPr>
        <w:pStyle w:val="BodyText"/>
        <w:rPr>
          <w:rFonts w:ascii="Arial"/>
          <w:sz w:val="20"/>
        </w:rPr>
      </w:pPr>
    </w:p>
    <w:p w14:paraId="2CDB1D05" w14:textId="77777777" w:rsidR="00AE3E37" w:rsidRDefault="00AE3E37">
      <w:pPr>
        <w:pStyle w:val="BodyText"/>
        <w:rPr>
          <w:rFonts w:ascii="Arial"/>
          <w:sz w:val="20"/>
        </w:rPr>
      </w:pPr>
    </w:p>
    <w:p w14:paraId="6CF51B9C" w14:textId="30719962" w:rsidR="00AE3E37" w:rsidRDefault="00BE1D39">
      <w:pPr>
        <w:pStyle w:val="BodyText"/>
        <w:spacing w:before="7"/>
        <w:rPr>
          <w:rFonts w:ascii="Arial"/>
          <w:color w:val="BF5A14"/>
          <w:sz w:val="22"/>
        </w:rPr>
      </w:pPr>
      <w:r>
        <w:rPr>
          <w:rFonts w:ascii="Arial"/>
          <w:sz w:val="29"/>
        </w:rPr>
        <w:tab/>
      </w:r>
      <w:r w:rsidRPr="00BE1D39">
        <w:rPr>
          <w:rFonts w:ascii="Arial"/>
          <w:color w:val="BF5A14"/>
          <w:sz w:val="22"/>
        </w:rPr>
        <w:t>Bi</w:t>
      </w:r>
      <w:r>
        <w:rPr>
          <w:rFonts w:ascii="Arial"/>
          <w:color w:val="BF5A14"/>
          <w:sz w:val="22"/>
        </w:rPr>
        <w:t>bliography</w:t>
      </w:r>
    </w:p>
    <w:p w14:paraId="05C7A230" w14:textId="77777777" w:rsidR="00BE1D39" w:rsidRPr="00B50EF3" w:rsidRDefault="00BE1D39" w:rsidP="00BE1D39">
      <w:pPr>
        <w:pStyle w:val="ListParagraph"/>
        <w:numPr>
          <w:ilvl w:val="0"/>
          <w:numId w:val="4"/>
        </w:numPr>
        <w:spacing w:line="480" w:lineRule="auto"/>
        <w:rPr>
          <w:rFonts w:asciiTheme="minorHAnsi" w:eastAsia="Times New Roman" w:hAnsiTheme="minorHAnsi" w:cstheme="minorHAnsi"/>
          <w:sz w:val="20"/>
        </w:rPr>
      </w:pPr>
      <w:r w:rsidRPr="00B50EF3">
        <w:rPr>
          <w:rFonts w:asciiTheme="minorHAnsi" w:hAnsiTheme="minorHAnsi" w:cstheme="minorHAnsi"/>
          <w:sz w:val="20"/>
        </w:rPr>
        <w:t xml:space="preserve">Zhou, B., &amp; Tian, R. (n.d.). Mitochondrial dysfunction in pathophysiology of heart failure. </w:t>
      </w:r>
      <w:r w:rsidRPr="00B50EF3">
        <w:rPr>
          <w:rFonts w:asciiTheme="minorHAnsi" w:hAnsiTheme="minorHAnsi" w:cstheme="minorHAnsi"/>
          <w:i/>
          <w:iCs/>
          <w:sz w:val="20"/>
        </w:rPr>
        <w:t>The Journal of Clinical Investigation</w:t>
      </w:r>
      <w:r w:rsidRPr="00B50EF3">
        <w:rPr>
          <w:rFonts w:asciiTheme="minorHAnsi" w:hAnsiTheme="minorHAnsi" w:cstheme="minorHAnsi"/>
          <w:sz w:val="20"/>
        </w:rPr>
        <w:t xml:space="preserve">, </w:t>
      </w:r>
      <w:r w:rsidRPr="00B50EF3">
        <w:rPr>
          <w:rFonts w:asciiTheme="minorHAnsi" w:hAnsiTheme="minorHAnsi" w:cstheme="minorHAnsi"/>
          <w:i/>
          <w:iCs/>
          <w:sz w:val="20"/>
        </w:rPr>
        <w:t>128</w:t>
      </w:r>
      <w:r w:rsidRPr="00B50EF3">
        <w:rPr>
          <w:rFonts w:asciiTheme="minorHAnsi" w:hAnsiTheme="minorHAnsi" w:cstheme="minorHAnsi"/>
          <w:sz w:val="20"/>
        </w:rPr>
        <w:t xml:space="preserve">(9), 3716–3726. </w:t>
      </w:r>
      <w:hyperlink r:id="rId10" w:history="1">
        <w:r w:rsidRPr="00B50EF3">
          <w:rPr>
            <w:rStyle w:val="Hyperlink"/>
            <w:rFonts w:asciiTheme="minorHAnsi" w:hAnsiTheme="minorHAnsi" w:cstheme="minorHAnsi"/>
            <w:sz w:val="20"/>
          </w:rPr>
          <w:t>https://doi.org/10.1172/JCI120849</w:t>
        </w:r>
      </w:hyperlink>
    </w:p>
    <w:p w14:paraId="45B23857" w14:textId="77777777" w:rsidR="00BE1D39" w:rsidRPr="00B50EF3" w:rsidRDefault="00BE1D39" w:rsidP="00BE1D39">
      <w:pPr>
        <w:pStyle w:val="ListParagraph"/>
        <w:widowControl/>
        <w:numPr>
          <w:ilvl w:val="0"/>
          <w:numId w:val="4"/>
        </w:numPr>
        <w:spacing w:line="480" w:lineRule="auto"/>
        <w:rPr>
          <w:rFonts w:asciiTheme="minorHAnsi" w:eastAsia="Times New Roman" w:hAnsiTheme="minorHAnsi" w:cstheme="minorHAnsi"/>
          <w:sz w:val="20"/>
          <w:szCs w:val="24"/>
        </w:rPr>
      </w:pPr>
      <w:r w:rsidRPr="00B50EF3">
        <w:rPr>
          <w:rFonts w:asciiTheme="minorHAnsi" w:eastAsia="Times New Roman" w:hAnsiTheme="minorHAnsi" w:cstheme="minorHAnsi"/>
          <w:sz w:val="20"/>
          <w:szCs w:val="24"/>
        </w:rPr>
        <w:t xml:space="preserve">Buckingham, R. (2019). </w:t>
      </w:r>
      <w:r w:rsidRPr="00B50EF3">
        <w:rPr>
          <w:rFonts w:asciiTheme="minorHAnsi" w:eastAsia="Times New Roman" w:hAnsiTheme="minorHAnsi" w:cstheme="minorHAnsi"/>
          <w:i/>
          <w:iCs/>
          <w:sz w:val="20"/>
          <w:szCs w:val="24"/>
        </w:rPr>
        <w:t>Rejuvination 2.0 | How the Capillary-Cell Dance Paces and Stems Interstitial Space Sanitation and End Organ Rejuvination to Resolve Disease, Pain, and Fatigue.</w:t>
      </w:r>
      <w:r w:rsidRPr="00B50EF3">
        <w:rPr>
          <w:rFonts w:asciiTheme="minorHAnsi" w:eastAsia="Times New Roman" w:hAnsiTheme="minorHAnsi" w:cstheme="minorHAnsi"/>
          <w:sz w:val="20"/>
          <w:szCs w:val="24"/>
        </w:rPr>
        <w:t xml:space="preserve"> Litfire Pub., INC.</w:t>
      </w:r>
    </w:p>
    <w:p w14:paraId="53E4F339" w14:textId="77777777" w:rsidR="005F694B" w:rsidRPr="00B50EF3" w:rsidRDefault="005F694B" w:rsidP="005F694B">
      <w:pPr>
        <w:pStyle w:val="ListParagraph"/>
        <w:numPr>
          <w:ilvl w:val="0"/>
          <w:numId w:val="4"/>
        </w:numPr>
        <w:spacing w:line="480" w:lineRule="auto"/>
        <w:rPr>
          <w:rFonts w:ascii="Times New Roman" w:eastAsia="Times New Roman" w:hAnsi="Times New Roman" w:cs="Times New Roman"/>
          <w:sz w:val="20"/>
        </w:rPr>
      </w:pPr>
      <w:r w:rsidRPr="00B50EF3">
        <w:rPr>
          <w:sz w:val="20"/>
        </w:rPr>
        <w:t xml:space="preserve">Gomez, I., Duval, V., &amp; Silvestre, J.-S. (2018). Cardiomyocytes and Macrophages Discourse on the Method to Govern Cardiac Repair. </w:t>
      </w:r>
      <w:r w:rsidRPr="00B50EF3">
        <w:rPr>
          <w:i/>
          <w:iCs/>
          <w:sz w:val="20"/>
        </w:rPr>
        <w:t>Frontiers in Cardiovascular Medicine</w:t>
      </w:r>
      <w:r w:rsidRPr="00B50EF3">
        <w:rPr>
          <w:sz w:val="20"/>
        </w:rPr>
        <w:t xml:space="preserve">, </w:t>
      </w:r>
      <w:r w:rsidRPr="00B50EF3">
        <w:rPr>
          <w:i/>
          <w:iCs/>
          <w:sz w:val="20"/>
        </w:rPr>
        <w:t>5</w:t>
      </w:r>
      <w:r w:rsidRPr="00B50EF3">
        <w:rPr>
          <w:sz w:val="20"/>
        </w:rPr>
        <w:t xml:space="preserve">, 134. </w:t>
      </w:r>
      <w:hyperlink r:id="rId11" w:history="1">
        <w:r w:rsidRPr="00B50EF3">
          <w:rPr>
            <w:rStyle w:val="Hyperlink"/>
            <w:sz w:val="20"/>
          </w:rPr>
          <w:t>https://doi.org/10.3389/fcvm.2018.00134</w:t>
        </w:r>
      </w:hyperlink>
    </w:p>
    <w:p w14:paraId="10A406EF" w14:textId="77777777" w:rsidR="00F85CA0" w:rsidRPr="00B50EF3" w:rsidRDefault="00F85CA0" w:rsidP="00F85CA0">
      <w:pPr>
        <w:pStyle w:val="ListParagraph"/>
        <w:numPr>
          <w:ilvl w:val="0"/>
          <w:numId w:val="4"/>
        </w:numPr>
        <w:spacing w:line="480" w:lineRule="auto"/>
        <w:rPr>
          <w:rFonts w:asciiTheme="minorHAnsi" w:eastAsia="Times New Roman" w:hAnsiTheme="minorHAnsi" w:cstheme="minorHAnsi"/>
          <w:sz w:val="20"/>
        </w:rPr>
      </w:pPr>
      <w:r w:rsidRPr="00B50EF3">
        <w:rPr>
          <w:rFonts w:asciiTheme="minorHAnsi" w:eastAsia="Times New Roman" w:hAnsiTheme="minorHAnsi" w:cstheme="minorHAnsi"/>
          <w:sz w:val="20"/>
        </w:rPr>
        <w:t xml:space="preserve">Gibb, A. A., Lazaropoulos, M. P., &amp; Elrod, J. W. (2020). Myofibroblasts and Fibrosis. Circulation Research, 127(3), 427–447. </w:t>
      </w:r>
      <w:hyperlink r:id="rId12" w:history="1">
        <w:r w:rsidRPr="00B50EF3">
          <w:rPr>
            <w:rStyle w:val="Hyperlink"/>
            <w:rFonts w:asciiTheme="minorHAnsi" w:eastAsia="Times New Roman" w:hAnsiTheme="minorHAnsi" w:cstheme="minorHAnsi"/>
            <w:sz w:val="20"/>
          </w:rPr>
          <w:t>https://doi.org/10.1161/CIRCRESAHA.120.316958</w:t>
        </w:r>
      </w:hyperlink>
    </w:p>
    <w:p w14:paraId="0D107B6A" w14:textId="5411B12E" w:rsidR="00F85CA0" w:rsidRPr="00B50EF3" w:rsidRDefault="00F85CA0" w:rsidP="00F85CA0">
      <w:pPr>
        <w:pStyle w:val="ListParagraph"/>
        <w:numPr>
          <w:ilvl w:val="0"/>
          <w:numId w:val="4"/>
        </w:numPr>
        <w:spacing w:line="480" w:lineRule="auto"/>
        <w:rPr>
          <w:rFonts w:asciiTheme="minorHAnsi" w:eastAsia="Times New Roman" w:hAnsiTheme="minorHAnsi" w:cstheme="minorHAnsi"/>
          <w:sz w:val="20"/>
        </w:rPr>
      </w:pPr>
      <w:r w:rsidRPr="00B50EF3">
        <w:rPr>
          <w:rFonts w:asciiTheme="minorHAnsi" w:hAnsiTheme="minorHAnsi" w:cstheme="minorHAnsi"/>
          <w:sz w:val="20"/>
        </w:rPr>
        <w:t>Liu, B., Zhang, H.-G., Zhu, Y., Jiang, Y.-H., Luo, G.-P., Tang, F.-Q., Jian, Z., &amp; Xiao, Y.-B. (2017). Cardiac resident macrophages are involved in hypoxia</w:t>
      </w:r>
      <w:r w:rsidRPr="00B50EF3">
        <w:rPr>
          <w:rFonts w:asciiTheme="minorHAnsi" w:hAnsiTheme="minorHAnsi" w:cstheme="minorHAnsi"/>
          <w:sz w:val="20"/>
        </w:rPr>
        <w:noBreakHyphen/>
        <w:t xml:space="preserve">induced postnatal cardiomyocyte proliferation. </w:t>
      </w:r>
      <w:r w:rsidRPr="00B50EF3">
        <w:rPr>
          <w:rFonts w:asciiTheme="minorHAnsi" w:hAnsiTheme="minorHAnsi" w:cstheme="minorHAnsi"/>
          <w:i/>
          <w:iCs/>
          <w:sz w:val="20"/>
        </w:rPr>
        <w:t>Molecular Medicine Reports</w:t>
      </w:r>
      <w:r w:rsidRPr="00B50EF3">
        <w:rPr>
          <w:rFonts w:asciiTheme="minorHAnsi" w:hAnsiTheme="minorHAnsi" w:cstheme="minorHAnsi"/>
          <w:sz w:val="20"/>
        </w:rPr>
        <w:t xml:space="preserve">, </w:t>
      </w:r>
      <w:r w:rsidRPr="00B50EF3">
        <w:rPr>
          <w:rFonts w:asciiTheme="minorHAnsi" w:hAnsiTheme="minorHAnsi" w:cstheme="minorHAnsi"/>
          <w:i/>
          <w:iCs/>
          <w:sz w:val="20"/>
        </w:rPr>
        <w:t>15</w:t>
      </w:r>
      <w:r w:rsidRPr="00B50EF3">
        <w:rPr>
          <w:rFonts w:asciiTheme="minorHAnsi" w:hAnsiTheme="minorHAnsi" w:cstheme="minorHAnsi"/>
          <w:sz w:val="20"/>
        </w:rPr>
        <w:t xml:space="preserve">(6), 3541–3548. </w:t>
      </w:r>
      <w:hyperlink r:id="rId13" w:history="1">
        <w:r w:rsidRPr="00B50EF3">
          <w:rPr>
            <w:rStyle w:val="Hyperlink"/>
            <w:rFonts w:asciiTheme="minorHAnsi" w:hAnsiTheme="minorHAnsi" w:cstheme="minorHAnsi"/>
            <w:sz w:val="20"/>
          </w:rPr>
          <w:t>https://doi.org/10.3892/mmr.2017.6432</w:t>
        </w:r>
      </w:hyperlink>
    </w:p>
    <w:p w14:paraId="11161A9F" w14:textId="2559A305" w:rsidR="00BE1D39" w:rsidRPr="00B50EF3" w:rsidRDefault="00F85CA0" w:rsidP="00F85CA0">
      <w:pPr>
        <w:pStyle w:val="ListParagraph"/>
        <w:numPr>
          <w:ilvl w:val="0"/>
          <w:numId w:val="4"/>
        </w:numPr>
        <w:spacing w:line="480" w:lineRule="auto"/>
        <w:rPr>
          <w:rFonts w:asciiTheme="minorHAnsi" w:eastAsia="Times New Roman" w:hAnsiTheme="minorHAnsi" w:cstheme="minorHAnsi"/>
          <w:sz w:val="20"/>
        </w:rPr>
      </w:pPr>
      <w:r w:rsidRPr="00B50EF3">
        <w:rPr>
          <w:rFonts w:asciiTheme="minorHAnsi" w:hAnsiTheme="minorHAnsi" w:cstheme="minorHAnsi"/>
          <w:sz w:val="20"/>
        </w:rPr>
        <w:t xml:space="preserve">Lafuse, W. P., Wozniak, D. J., &amp; Rajaram, M. V. S. (2020). Role of Cardiac Macrophages on Cardiac Inflammation, Fibrosis and Tissue Repair. </w:t>
      </w:r>
      <w:r w:rsidRPr="00B50EF3">
        <w:rPr>
          <w:rFonts w:asciiTheme="minorHAnsi" w:hAnsiTheme="minorHAnsi" w:cstheme="minorHAnsi"/>
          <w:i/>
          <w:iCs/>
          <w:sz w:val="20"/>
        </w:rPr>
        <w:t>Cells</w:t>
      </w:r>
      <w:r w:rsidRPr="00B50EF3">
        <w:rPr>
          <w:rFonts w:asciiTheme="minorHAnsi" w:hAnsiTheme="minorHAnsi" w:cstheme="minorHAnsi"/>
          <w:sz w:val="20"/>
        </w:rPr>
        <w:t xml:space="preserve">, </w:t>
      </w:r>
      <w:r w:rsidRPr="00B50EF3">
        <w:rPr>
          <w:rFonts w:asciiTheme="minorHAnsi" w:hAnsiTheme="minorHAnsi" w:cstheme="minorHAnsi"/>
          <w:i/>
          <w:iCs/>
          <w:sz w:val="20"/>
        </w:rPr>
        <w:t>10</w:t>
      </w:r>
      <w:r w:rsidRPr="00B50EF3">
        <w:rPr>
          <w:rFonts w:asciiTheme="minorHAnsi" w:hAnsiTheme="minorHAnsi" w:cstheme="minorHAnsi"/>
          <w:sz w:val="20"/>
        </w:rPr>
        <w:t xml:space="preserve">(1), 51. </w:t>
      </w:r>
      <w:hyperlink r:id="rId14" w:history="1">
        <w:r w:rsidRPr="00B50EF3">
          <w:rPr>
            <w:rStyle w:val="Hyperlink"/>
            <w:rFonts w:asciiTheme="minorHAnsi" w:hAnsiTheme="minorHAnsi" w:cstheme="minorHAnsi"/>
            <w:sz w:val="20"/>
          </w:rPr>
          <w:t>https://doi.org/10.3390/cells10010051</w:t>
        </w:r>
      </w:hyperlink>
    </w:p>
    <w:p w14:paraId="7ACFB202" w14:textId="3C2129B7" w:rsidR="00F85CA0" w:rsidRPr="00B50EF3" w:rsidRDefault="00F85CA0" w:rsidP="00F85CA0">
      <w:pPr>
        <w:pStyle w:val="ListParagraph"/>
        <w:numPr>
          <w:ilvl w:val="0"/>
          <w:numId w:val="4"/>
        </w:numPr>
        <w:spacing w:line="480" w:lineRule="auto"/>
        <w:rPr>
          <w:rStyle w:val="Hyperlink"/>
          <w:rFonts w:asciiTheme="minorHAnsi" w:eastAsia="Times New Roman" w:hAnsiTheme="minorHAnsi" w:cstheme="minorHAnsi"/>
          <w:color w:val="auto"/>
          <w:sz w:val="20"/>
          <w:u w:val="none"/>
        </w:rPr>
      </w:pPr>
      <w:r w:rsidRPr="00B50EF3">
        <w:rPr>
          <w:rFonts w:asciiTheme="minorHAnsi" w:eastAsia="Times New Roman" w:hAnsiTheme="minorHAnsi" w:cstheme="minorHAnsi"/>
          <w:sz w:val="20"/>
        </w:rPr>
        <w:t xml:space="preserve">Goichberg, P., Chang, J., Liao, R., &amp; Leri, A. (2014). Cardiac Stem Cells: Biology and Clinical Applications. Antioxidants &amp; Redox Signaling, 21(14), 2002–2017. </w:t>
      </w:r>
      <w:hyperlink r:id="rId15" w:history="1">
        <w:r w:rsidRPr="00B50EF3">
          <w:rPr>
            <w:rStyle w:val="Hyperlink"/>
            <w:rFonts w:asciiTheme="minorHAnsi" w:eastAsia="Times New Roman" w:hAnsiTheme="minorHAnsi" w:cstheme="minorHAnsi"/>
            <w:sz w:val="20"/>
          </w:rPr>
          <w:t>https://doi.org/10.1089/ars.2014.5875</w:t>
        </w:r>
      </w:hyperlink>
    </w:p>
    <w:p w14:paraId="55787119" w14:textId="77777777" w:rsidR="00B50EF3" w:rsidRDefault="00B50EF3" w:rsidP="00B50EF3">
      <w:pPr>
        <w:pStyle w:val="ListParagraph"/>
        <w:spacing w:line="480" w:lineRule="auto"/>
        <w:ind w:left="720" w:firstLine="0"/>
        <w:rPr>
          <w:rFonts w:ascii="Times New Roman" w:eastAsia="Times New Roman" w:hAnsi="Times New Roman" w:cs="Times New Roman"/>
          <w:sz w:val="20"/>
        </w:rPr>
      </w:pPr>
    </w:p>
    <w:p w14:paraId="673880AA" w14:textId="77777777" w:rsidR="00F85CA0" w:rsidRPr="00F85CA0" w:rsidRDefault="00F85CA0" w:rsidP="00F85CA0">
      <w:pPr>
        <w:spacing w:line="480" w:lineRule="auto"/>
        <w:rPr>
          <w:rFonts w:ascii="Times New Roman" w:eastAsia="Times New Roman" w:hAnsi="Times New Roman" w:cs="Times New Roman"/>
          <w:sz w:val="20"/>
        </w:rPr>
      </w:pPr>
    </w:p>
    <w:p w14:paraId="5A6D5AD9"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326038" w14:textId="77777777" w:rsidR="00C516AB" w:rsidRDefault="00C516AB">
      <w:r>
        <w:separator/>
      </w:r>
    </w:p>
  </w:endnote>
  <w:endnote w:type="continuationSeparator" w:id="0">
    <w:p w14:paraId="535E37E2" w14:textId="77777777" w:rsidR="00C516AB" w:rsidRDefault="00C51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CC0C1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7E59006" wp14:editId="5CD2E6F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F364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45315B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E59006"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6D7F364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45315B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1F3285C" wp14:editId="086025B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46FF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F38847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3285C"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42B46FF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F38847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B93C494" wp14:editId="1EE95F9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BBF0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66D218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3C494"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5FCBBF0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66D218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A3AD9D" w14:textId="77777777" w:rsidR="00C516AB" w:rsidRDefault="00C516AB">
      <w:r>
        <w:separator/>
      </w:r>
    </w:p>
  </w:footnote>
  <w:footnote w:type="continuationSeparator" w:id="0">
    <w:p w14:paraId="1A0F15FB" w14:textId="77777777" w:rsidR="00C516AB" w:rsidRDefault="00C516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524637"/>
    <w:multiLevelType w:val="hybridMultilevel"/>
    <w:tmpl w:val="9F9CD0EE"/>
    <w:lvl w:ilvl="0" w:tplc="E30A80D2">
      <w:start w:val="1"/>
      <w:numFmt w:val="decimal"/>
      <w:lvlText w:val="%1."/>
      <w:lvlJc w:val="left"/>
      <w:pPr>
        <w:ind w:left="720" w:hanging="360"/>
      </w:pPr>
      <w:rPr>
        <w:rFonts w:hint="default"/>
        <w:color w:val="BF5A14"/>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jC0sLAwMbQwMTAxNTNU0lEKTi0uzszPAykwqQUAFj0ffCwAAAA="/>
  </w:docVars>
  <w:rsids>
    <w:rsidRoot w:val="00AE3E37"/>
    <w:rsid w:val="000534A1"/>
    <w:rsid w:val="0006797A"/>
    <w:rsid w:val="00080D22"/>
    <w:rsid w:val="00093438"/>
    <w:rsid w:val="000B4CAA"/>
    <w:rsid w:val="000E2911"/>
    <w:rsid w:val="001263DF"/>
    <w:rsid w:val="001C481A"/>
    <w:rsid w:val="001C7ABA"/>
    <w:rsid w:val="00240BAB"/>
    <w:rsid w:val="00292ED9"/>
    <w:rsid w:val="00351D9B"/>
    <w:rsid w:val="00365E3C"/>
    <w:rsid w:val="00380299"/>
    <w:rsid w:val="003A5D39"/>
    <w:rsid w:val="0040277C"/>
    <w:rsid w:val="00404E5B"/>
    <w:rsid w:val="00406629"/>
    <w:rsid w:val="00414F7B"/>
    <w:rsid w:val="004355DC"/>
    <w:rsid w:val="004749B4"/>
    <w:rsid w:val="00475D20"/>
    <w:rsid w:val="00494130"/>
    <w:rsid w:val="004F3523"/>
    <w:rsid w:val="005338A7"/>
    <w:rsid w:val="005443FD"/>
    <w:rsid w:val="00590D60"/>
    <w:rsid w:val="005973B9"/>
    <w:rsid w:val="005B3A56"/>
    <w:rsid w:val="005F694B"/>
    <w:rsid w:val="006060CE"/>
    <w:rsid w:val="0061505C"/>
    <w:rsid w:val="0063497F"/>
    <w:rsid w:val="00714354"/>
    <w:rsid w:val="00784FA0"/>
    <w:rsid w:val="0081058C"/>
    <w:rsid w:val="00853425"/>
    <w:rsid w:val="00873DF0"/>
    <w:rsid w:val="008756E6"/>
    <w:rsid w:val="00897EC5"/>
    <w:rsid w:val="008A0763"/>
    <w:rsid w:val="008E5477"/>
    <w:rsid w:val="009B2D44"/>
    <w:rsid w:val="00A07E82"/>
    <w:rsid w:val="00A20287"/>
    <w:rsid w:val="00A52075"/>
    <w:rsid w:val="00A9710C"/>
    <w:rsid w:val="00AE3E37"/>
    <w:rsid w:val="00B21A57"/>
    <w:rsid w:val="00B50EF3"/>
    <w:rsid w:val="00B7367C"/>
    <w:rsid w:val="00B8394A"/>
    <w:rsid w:val="00BE1D39"/>
    <w:rsid w:val="00BE6743"/>
    <w:rsid w:val="00C33602"/>
    <w:rsid w:val="00C516AB"/>
    <w:rsid w:val="00C56C74"/>
    <w:rsid w:val="00C76075"/>
    <w:rsid w:val="00C7765E"/>
    <w:rsid w:val="00CB54D8"/>
    <w:rsid w:val="00CD6F55"/>
    <w:rsid w:val="00CE2613"/>
    <w:rsid w:val="00D96D52"/>
    <w:rsid w:val="00DE1BC6"/>
    <w:rsid w:val="00DE3104"/>
    <w:rsid w:val="00DE6170"/>
    <w:rsid w:val="00E30AAC"/>
    <w:rsid w:val="00E82594"/>
    <w:rsid w:val="00E95D97"/>
    <w:rsid w:val="00EA7D51"/>
    <w:rsid w:val="00F046EA"/>
    <w:rsid w:val="00F312EA"/>
    <w:rsid w:val="00F35A62"/>
    <w:rsid w:val="00F41C2A"/>
    <w:rsid w:val="00F72EEA"/>
    <w:rsid w:val="00F84CAE"/>
    <w:rsid w:val="00F85587"/>
    <w:rsid w:val="00F85CA0"/>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DC142"/>
  <w15:docId w15:val="{E9DC4D9E-AC13-4F5A-9873-E71A0F6A4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921124">
      <w:bodyDiv w:val="1"/>
      <w:marLeft w:val="0"/>
      <w:marRight w:val="0"/>
      <w:marTop w:val="0"/>
      <w:marBottom w:val="0"/>
      <w:divBdr>
        <w:top w:val="none" w:sz="0" w:space="0" w:color="auto"/>
        <w:left w:val="none" w:sz="0" w:space="0" w:color="auto"/>
        <w:bottom w:val="none" w:sz="0" w:space="0" w:color="auto"/>
        <w:right w:val="none" w:sz="0" w:space="0" w:color="auto"/>
      </w:divBdr>
      <w:divsChild>
        <w:div w:id="326253539">
          <w:marLeft w:val="480"/>
          <w:marRight w:val="0"/>
          <w:marTop w:val="0"/>
          <w:marBottom w:val="0"/>
          <w:divBdr>
            <w:top w:val="none" w:sz="0" w:space="0" w:color="auto"/>
            <w:left w:val="none" w:sz="0" w:space="0" w:color="auto"/>
            <w:bottom w:val="none" w:sz="0" w:space="0" w:color="auto"/>
            <w:right w:val="none" w:sz="0" w:space="0" w:color="auto"/>
          </w:divBdr>
          <w:divsChild>
            <w:div w:id="101149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512894">
      <w:bodyDiv w:val="1"/>
      <w:marLeft w:val="0"/>
      <w:marRight w:val="0"/>
      <w:marTop w:val="0"/>
      <w:marBottom w:val="0"/>
      <w:divBdr>
        <w:top w:val="none" w:sz="0" w:space="0" w:color="auto"/>
        <w:left w:val="none" w:sz="0" w:space="0" w:color="auto"/>
        <w:bottom w:val="none" w:sz="0" w:space="0" w:color="auto"/>
        <w:right w:val="none" w:sz="0" w:space="0" w:color="auto"/>
      </w:divBdr>
      <w:divsChild>
        <w:div w:id="386803455">
          <w:marLeft w:val="480"/>
          <w:marRight w:val="0"/>
          <w:marTop w:val="0"/>
          <w:marBottom w:val="0"/>
          <w:divBdr>
            <w:top w:val="none" w:sz="0" w:space="0" w:color="auto"/>
            <w:left w:val="none" w:sz="0" w:space="0" w:color="auto"/>
            <w:bottom w:val="none" w:sz="0" w:space="0" w:color="auto"/>
            <w:right w:val="none" w:sz="0" w:space="0" w:color="auto"/>
          </w:divBdr>
          <w:divsChild>
            <w:div w:id="172078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62828683">
      <w:bodyDiv w:val="1"/>
      <w:marLeft w:val="0"/>
      <w:marRight w:val="0"/>
      <w:marTop w:val="0"/>
      <w:marBottom w:val="0"/>
      <w:divBdr>
        <w:top w:val="none" w:sz="0" w:space="0" w:color="auto"/>
        <w:left w:val="none" w:sz="0" w:space="0" w:color="auto"/>
        <w:bottom w:val="none" w:sz="0" w:space="0" w:color="auto"/>
        <w:right w:val="none" w:sz="0" w:space="0" w:color="auto"/>
      </w:divBdr>
      <w:divsChild>
        <w:div w:id="165442309">
          <w:marLeft w:val="480"/>
          <w:marRight w:val="0"/>
          <w:marTop w:val="0"/>
          <w:marBottom w:val="0"/>
          <w:divBdr>
            <w:top w:val="none" w:sz="0" w:space="0" w:color="auto"/>
            <w:left w:val="none" w:sz="0" w:space="0" w:color="auto"/>
            <w:bottom w:val="none" w:sz="0" w:space="0" w:color="auto"/>
            <w:right w:val="none" w:sz="0" w:space="0" w:color="auto"/>
          </w:divBdr>
          <w:divsChild>
            <w:div w:id="83519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148501">
      <w:bodyDiv w:val="1"/>
      <w:marLeft w:val="0"/>
      <w:marRight w:val="0"/>
      <w:marTop w:val="0"/>
      <w:marBottom w:val="0"/>
      <w:divBdr>
        <w:top w:val="none" w:sz="0" w:space="0" w:color="auto"/>
        <w:left w:val="none" w:sz="0" w:space="0" w:color="auto"/>
        <w:bottom w:val="none" w:sz="0" w:space="0" w:color="auto"/>
        <w:right w:val="none" w:sz="0" w:space="0" w:color="auto"/>
      </w:divBdr>
      <w:divsChild>
        <w:div w:id="1869642616">
          <w:marLeft w:val="480"/>
          <w:marRight w:val="0"/>
          <w:marTop w:val="0"/>
          <w:marBottom w:val="0"/>
          <w:divBdr>
            <w:top w:val="none" w:sz="0" w:space="0" w:color="auto"/>
            <w:left w:val="none" w:sz="0" w:space="0" w:color="auto"/>
            <w:bottom w:val="none" w:sz="0" w:space="0" w:color="auto"/>
            <w:right w:val="none" w:sz="0" w:space="0" w:color="auto"/>
          </w:divBdr>
          <w:divsChild>
            <w:div w:id="28678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31072312">
      <w:bodyDiv w:val="1"/>
      <w:marLeft w:val="0"/>
      <w:marRight w:val="0"/>
      <w:marTop w:val="0"/>
      <w:marBottom w:val="0"/>
      <w:divBdr>
        <w:top w:val="none" w:sz="0" w:space="0" w:color="auto"/>
        <w:left w:val="none" w:sz="0" w:space="0" w:color="auto"/>
        <w:bottom w:val="none" w:sz="0" w:space="0" w:color="auto"/>
        <w:right w:val="none" w:sz="0" w:space="0" w:color="auto"/>
      </w:divBdr>
      <w:divsChild>
        <w:div w:id="1278291987">
          <w:marLeft w:val="480"/>
          <w:marRight w:val="0"/>
          <w:marTop w:val="0"/>
          <w:marBottom w:val="0"/>
          <w:divBdr>
            <w:top w:val="none" w:sz="0" w:space="0" w:color="auto"/>
            <w:left w:val="none" w:sz="0" w:space="0" w:color="auto"/>
            <w:bottom w:val="none" w:sz="0" w:space="0" w:color="auto"/>
            <w:right w:val="none" w:sz="0" w:space="0" w:color="auto"/>
          </w:divBdr>
          <w:divsChild>
            <w:div w:id="113772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624529">
      <w:bodyDiv w:val="1"/>
      <w:marLeft w:val="0"/>
      <w:marRight w:val="0"/>
      <w:marTop w:val="0"/>
      <w:marBottom w:val="0"/>
      <w:divBdr>
        <w:top w:val="none" w:sz="0" w:space="0" w:color="auto"/>
        <w:left w:val="none" w:sz="0" w:space="0" w:color="auto"/>
        <w:bottom w:val="none" w:sz="0" w:space="0" w:color="auto"/>
        <w:right w:val="none" w:sz="0" w:space="0" w:color="auto"/>
      </w:divBdr>
      <w:divsChild>
        <w:div w:id="580990656">
          <w:marLeft w:val="480"/>
          <w:marRight w:val="0"/>
          <w:marTop w:val="0"/>
          <w:marBottom w:val="0"/>
          <w:divBdr>
            <w:top w:val="none" w:sz="0" w:space="0" w:color="auto"/>
            <w:left w:val="none" w:sz="0" w:space="0" w:color="auto"/>
            <w:bottom w:val="none" w:sz="0" w:space="0" w:color="auto"/>
            <w:right w:val="none" w:sz="0" w:space="0" w:color="auto"/>
          </w:divBdr>
          <w:divsChild>
            <w:div w:id="57875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10086">
      <w:bodyDiv w:val="1"/>
      <w:marLeft w:val="0"/>
      <w:marRight w:val="0"/>
      <w:marTop w:val="0"/>
      <w:marBottom w:val="0"/>
      <w:divBdr>
        <w:top w:val="none" w:sz="0" w:space="0" w:color="auto"/>
        <w:left w:val="none" w:sz="0" w:space="0" w:color="auto"/>
        <w:bottom w:val="none" w:sz="0" w:space="0" w:color="auto"/>
        <w:right w:val="none" w:sz="0" w:space="0" w:color="auto"/>
      </w:divBdr>
      <w:divsChild>
        <w:div w:id="594361088">
          <w:marLeft w:val="480"/>
          <w:marRight w:val="0"/>
          <w:marTop w:val="0"/>
          <w:marBottom w:val="0"/>
          <w:divBdr>
            <w:top w:val="none" w:sz="0" w:space="0" w:color="auto"/>
            <w:left w:val="none" w:sz="0" w:space="0" w:color="auto"/>
            <w:bottom w:val="none" w:sz="0" w:space="0" w:color="auto"/>
            <w:right w:val="none" w:sz="0" w:space="0" w:color="auto"/>
          </w:divBdr>
          <w:divsChild>
            <w:div w:id="204886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28538530_Title_The_Superoxide_Tsunami_The_Gutting_of_the_BBB_Capillary_Cell_from_the_Inside_Out" TargetMode="External"/><Relationship Id="rId13" Type="http://schemas.openxmlformats.org/officeDocument/2006/relationships/hyperlink" Target="https://doi.org/10.3892/mmr.2017.6432"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doi.org/10.1161/CIRCRESAHA.120.31695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389/fcvm.2018.00134" TargetMode="External"/><Relationship Id="rId5" Type="http://schemas.openxmlformats.org/officeDocument/2006/relationships/footnotes" Target="footnotes.xml"/><Relationship Id="rId15" Type="http://schemas.openxmlformats.org/officeDocument/2006/relationships/hyperlink" Target="https://doi.org/10.1089/ars.2014.5875" TargetMode="External"/><Relationship Id="rId10" Type="http://schemas.openxmlformats.org/officeDocument/2006/relationships/hyperlink" Target="https://doi.org/10.1172/JCI120849" TargetMode="External"/><Relationship Id="rId4" Type="http://schemas.openxmlformats.org/officeDocument/2006/relationships/webSettings" Target="webSettings.xml"/><Relationship Id="rId9" Type="http://schemas.openxmlformats.org/officeDocument/2006/relationships/hyperlink" Target="https://doi.org/10.13140/RG.2.2.20786.45761" TargetMode="External"/><Relationship Id="rId14" Type="http://schemas.openxmlformats.org/officeDocument/2006/relationships/hyperlink" Target="https://doi.org/10.3390/cells100100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2</Pages>
  <Words>912</Words>
  <Characters>5200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account</cp:lastModifiedBy>
  <cp:revision>26</cp:revision>
  <dcterms:created xsi:type="dcterms:W3CDTF">2023-01-30T20:20:00Z</dcterms:created>
  <dcterms:modified xsi:type="dcterms:W3CDTF">2023-02-14T06:15:00Z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