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196EC" w14:textId="02A31127" w:rsidR="00AE3E37" w:rsidRDefault="00C92B5A" w:rsidP="000E7FD8">
      <w:pPr>
        <w:pStyle w:val="Heading1"/>
        <w:spacing w:before="0"/>
        <w:ind w:left="0"/>
        <w:jc w:val="both"/>
      </w:pPr>
      <w:r>
        <w:rPr>
          <w:color w:val="337AB7"/>
        </w:rPr>
        <w:t>A Systematic Review on the Application of Automated Pupillometry to Improve Outcomes in Patients with Traumatic Brain Injury (TBI)</w:t>
      </w:r>
    </w:p>
    <w:p w14:paraId="5ACB6987" w14:textId="70E964AE" w:rsidR="00C92B5A" w:rsidRDefault="00C92B5A" w:rsidP="00C92B5A">
      <w:pPr>
        <w:pStyle w:val="BodyText"/>
        <w:spacing w:before="73" w:line="198" w:lineRule="exact"/>
        <w:ind w:left="100" w:right="5587"/>
        <w:rPr>
          <w:rFonts w:ascii="Arial"/>
        </w:rPr>
      </w:pPr>
      <w:r>
        <w:rPr>
          <w:rFonts w:ascii="Arial"/>
        </w:rPr>
        <w:t>Carmen Chung</w:t>
      </w:r>
      <w:r w:rsidR="005973B9">
        <w:rPr>
          <w:rFonts w:ascii="Arial"/>
        </w:rPr>
        <w:t>,</w:t>
      </w:r>
      <w:r>
        <w:rPr>
          <w:rFonts w:ascii="Arial"/>
        </w:rPr>
        <w:t xml:space="preserve"> Warwick Medical School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UK </w:t>
      </w:r>
    </w:p>
    <w:p w14:paraId="4AE7BD37" w14:textId="70AEEFAD" w:rsidR="005973B9" w:rsidRDefault="00C92B5A" w:rsidP="00B22213">
      <w:pPr>
        <w:pStyle w:val="BodyText"/>
        <w:spacing w:before="73" w:line="198" w:lineRule="exact"/>
        <w:ind w:left="100" w:right="2752"/>
        <w:rPr>
          <w:rFonts w:ascii="Arial"/>
        </w:rPr>
      </w:pPr>
      <w:r>
        <w:rPr>
          <w:rFonts w:ascii="Arial"/>
        </w:rPr>
        <w:t>Damon Hoad</w:t>
      </w:r>
      <w:r w:rsidR="005973B9">
        <w:rPr>
          <w:rFonts w:ascii="Arial"/>
        </w:rPr>
        <w:t>, PhD</w:t>
      </w:r>
      <w:r>
        <w:rPr>
          <w:rFonts w:ascii="Arial"/>
        </w:rPr>
        <w:t xml:space="preserve"> MRCP AKC</w:t>
      </w:r>
      <w:r w:rsidR="005973B9">
        <w:rPr>
          <w:rFonts w:ascii="Arial"/>
        </w:rPr>
        <w:t xml:space="preserve">, </w:t>
      </w:r>
      <w:r>
        <w:rPr>
          <w:rFonts w:ascii="Arial"/>
        </w:rPr>
        <w:t>Associate Clinical Professor</w:t>
      </w:r>
      <w:r w:rsidR="00B22213">
        <w:rPr>
          <w:rFonts w:ascii="Arial"/>
        </w:rPr>
        <w:t xml:space="preserve"> at Warwick Medical School</w:t>
      </w:r>
      <w:r w:rsidR="005973B9">
        <w:rPr>
          <w:rFonts w:ascii="Arial"/>
        </w:rPr>
        <w:t xml:space="preserve">, </w:t>
      </w:r>
      <w:r>
        <w:rPr>
          <w:rFonts w:ascii="Arial"/>
        </w:rPr>
        <w:t>UK</w:t>
      </w:r>
    </w:p>
    <w:p w14:paraId="3752CCE2" w14:textId="7935A7E1" w:rsidR="00AE3E37" w:rsidRDefault="00AE3E37">
      <w:pPr>
        <w:pStyle w:val="BodyText"/>
        <w:rPr>
          <w:rFonts w:ascii="Arial"/>
          <w:sz w:val="20"/>
        </w:rPr>
      </w:pPr>
    </w:p>
    <w:p w14:paraId="7E8AD523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F1F9428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527CFA1" w14:textId="73C33D88" w:rsidR="00C92B5A" w:rsidRPr="007143EB" w:rsidRDefault="00C92B5A" w:rsidP="00C92B5A">
      <w:pPr>
        <w:pStyle w:val="Heading3"/>
        <w:spacing w:before="74"/>
        <w:rPr>
          <w:rFonts w:ascii="Calibri" w:hAnsi="Calibri" w:cs="Calibri"/>
          <w:b w:val="0"/>
          <w:bCs w:val="0"/>
          <w:sz w:val="18"/>
          <w:szCs w:val="18"/>
          <w:lang w:val="en-GB"/>
        </w:rPr>
      </w:pPr>
      <w:r w:rsidRPr="007143EB">
        <w:rPr>
          <w:rFonts w:ascii="Calibri" w:hAnsi="Calibri" w:cs="Calibri"/>
          <w:sz w:val="18"/>
          <w:szCs w:val="18"/>
          <w:lang w:val="en-GB"/>
        </w:rPr>
        <w:t xml:space="preserve">Background: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The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pupillary light reflex (PLR) is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sensitive to changes in intracranial pressure and an essential part of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neurological examination in Traumatic Brain Injury (TBI) patients.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A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utomated pupillometry provides an objective, reliable, non-invasive, and quantifiable method of measuring PLR. This systematic review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evaluates evidence for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</w:t>
      </w:r>
      <w:r w:rsidR="00722A55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the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application and utility of automated pupillometry to improve outcomes in patients with TBI.</w:t>
      </w:r>
    </w:p>
    <w:p w14:paraId="5B44C887" w14:textId="08D07673" w:rsidR="00C92B5A" w:rsidRPr="007143EB" w:rsidRDefault="00C92B5A" w:rsidP="00C92B5A">
      <w:pPr>
        <w:pStyle w:val="Heading3"/>
        <w:spacing w:before="74"/>
        <w:rPr>
          <w:rFonts w:ascii="Calibri" w:hAnsi="Calibri" w:cs="Calibri"/>
          <w:b w:val="0"/>
          <w:bCs w:val="0"/>
          <w:sz w:val="18"/>
          <w:szCs w:val="18"/>
          <w:lang w:val="en-GB"/>
        </w:rPr>
      </w:pPr>
      <w:r w:rsidRPr="007143EB">
        <w:rPr>
          <w:rFonts w:ascii="Calibri" w:hAnsi="Calibri" w:cs="Calibri"/>
          <w:sz w:val="18"/>
          <w:szCs w:val="18"/>
          <w:lang w:val="en-GB"/>
        </w:rPr>
        <w:t xml:space="preserve">Methods: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MEDLINE, Embase, Web of Science, and Scopus databases were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systematically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searched for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clinical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studies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evaluating </w:t>
      </w:r>
      <w:r w:rsidR="00722A55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the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use of automated pupillometry in Traumatic Brain Injury patients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up to October 9, 2022. </w:t>
      </w:r>
    </w:p>
    <w:p w14:paraId="2772CBE7" w14:textId="10133A62" w:rsidR="00C92B5A" w:rsidRPr="007143EB" w:rsidRDefault="00C92B5A" w:rsidP="00C92B5A">
      <w:pPr>
        <w:pStyle w:val="Heading3"/>
        <w:spacing w:before="74"/>
        <w:rPr>
          <w:rFonts w:ascii="Calibri" w:hAnsi="Calibri" w:cs="Calibri"/>
          <w:b w:val="0"/>
          <w:bCs w:val="0"/>
          <w:sz w:val="18"/>
          <w:szCs w:val="18"/>
          <w:lang w:val="en-GB"/>
        </w:rPr>
      </w:pPr>
      <w:r w:rsidRPr="007143EB">
        <w:rPr>
          <w:rFonts w:ascii="Calibri" w:hAnsi="Calibri" w:cs="Calibri"/>
          <w:sz w:val="18"/>
          <w:szCs w:val="18"/>
          <w:lang w:val="en-GB"/>
        </w:rPr>
        <w:t xml:space="preserve">Results: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12 observational studies met </w:t>
      </w:r>
      <w:r w:rsidR="00722A55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the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inclusion and exclusion criteria. All studies reported </w:t>
      </w:r>
      <w:r w:rsidR="00DF174C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on the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usefulness of automated pupillometry in identifying abnormal pupillary reflexes in the acute hospital stage. 5 studies reported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inverse relationship between the Neurological Pupil Index (NPi) and clinical outcomes in TBI patients. 4 studies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reported correlation between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NPi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measured with automated pupillometry and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intracranial pressure (ICP). 3 studies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reported that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NPi score is predictive of surgical interventions in TBI patients.</w:t>
      </w:r>
    </w:p>
    <w:p w14:paraId="03B46D94" w14:textId="14EB9E33" w:rsidR="00C92B5A" w:rsidRPr="007143EB" w:rsidRDefault="00C92B5A" w:rsidP="00C92B5A">
      <w:pPr>
        <w:pStyle w:val="Heading3"/>
        <w:spacing w:before="74"/>
        <w:rPr>
          <w:rFonts w:ascii="Calibri" w:hAnsi="Calibri" w:cs="Calibri"/>
          <w:b w:val="0"/>
          <w:bCs w:val="0"/>
          <w:sz w:val="18"/>
          <w:szCs w:val="18"/>
          <w:lang w:val="en-GB"/>
        </w:rPr>
      </w:pPr>
      <w:r w:rsidRPr="007143EB">
        <w:rPr>
          <w:rFonts w:ascii="Calibri" w:hAnsi="Calibri" w:cs="Calibri"/>
          <w:sz w:val="18"/>
          <w:szCs w:val="18"/>
          <w:lang w:val="en-GB"/>
        </w:rPr>
        <w:t xml:space="preserve">Discussion: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This systematic review demonstrates that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automated pupillometry is effective in measuring abnormalities of the PLR in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TBI patient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s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.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A number of studies report specific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PLR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parameters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and the NPi score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having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diagnostic and prognostic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utility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in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patients with TBI. However,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no evidence was identified for application of automated pupillometry in monitoring recovery of cognition in sub</w:t>
      </w:r>
      <w:r w:rsidR="00722A55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-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acute or chronic stages. </w:t>
      </w:r>
    </w:p>
    <w:p w14:paraId="74E56A4A" w14:textId="77646F04" w:rsidR="00AE3E37" w:rsidRPr="00C92B5A" w:rsidRDefault="00C92B5A" w:rsidP="00C92B5A">
      <w:pPr>
        <w:pStyle w:val="Heading3"/>
        <w:spacing w:before="74"/>
        <w:rPr>
          <w:b w:val="0"/>
          <w:bCs w:val="0"/>
          <w:sz w:val="18"/>
          <w:szCs w:val="18"/>
          <w:lang w:val="en-GB"/>
        </w:rPr>
      </w:pPr>
      <w:r w:rsidRPr="007143EB">
        <w:rPr>
          <w:rFonts w:ascii="Calibri" w:hAnsi="Calibri" w:cs="Calibri"/>
          <w:sz w:val="18"/>
          <w:szCs w:val="18"/>
          <w:lang w:val="en-GB"/>
        </w:rPr>
        <w:t>Conclusion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: Automated pupillometry provides an objective, non-invasive and rapid means to assess pupillary function.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Clinical evaluations of the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technology demonstrated diagnostic, prognostic, and therapeutic potential in the management of TBI patients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in acute hospital settings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.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Further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evidence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will support wider clinical uptake and there is potential for </w:t>
      </w:r>
      <w:r w:rsidR="00722A55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future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 research to evaluate application of </w:t>
      </w:r>
      <w:r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 xml:space="preserve">automated pupillometry in </w:t>
      </w:r>
      <w:r w:rsidR="003E1F4D" w:rsidRPr="007143EB">
        <w:rPr>
          <w:rFonts w:ascii="Calibri" w:hAnsi="Calibri" w:cs="Calibri"/>
          <w:b w:val="0"/>
          <w:bCs w:val="0"/>
          <w:sz w:val="18"/>
          <w:szCs w:val="18"/>
          <w:lang w:val="en-GB"/>
        </w:rPr>
        <w:t>post-acute cognitive rehabilitation settings.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202B9724" w14:textId="1A766DCF" w:rsidR="00AE3E37" w:rsidRDefault="001D70D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20"/>
        </w:rPr>
        <w:drawing>
          <wp:anchor distT="0" distB="0" distL="114300" distR="114300" simplePos="0" relativeHeight="251659264" behindDoc="0" locked="0" layoutInCell="1" allowOverlap="1" wp14:anchorId="324F5B9C" wp14:editId="3C67E6D5">
            <wp:simplePos x="0" y="0"/>
            <wp:positionH relativeFrom="column">
              <wp:posOffset>39370</wp:posOffset>
            </wp:positionH>
            <wp:positionV relativeFrom="paragraph">
              <wp:posOffset>66040</wp:posOffset>
            </wp:positionV>
            <wp:extent cx="2023110" cy="2438400"/>
            <wp:effectExtent l="0" t="0" r="0" b="0"/>
            <wp:wrapSquare wrapText="bothSides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400FF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DF594EE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D6B9A67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C85A97D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4F8DAA6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56AD3A1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A9986C1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3AF0B62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073182C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AB747C3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9C0B5A5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150B3D6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AD9B1DB" w14:textId="77777777" w:rsidR="001D70DC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17BD9725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A4A0A54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E9891ED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36FB374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475A534" w14:textId="77777777" w:rsidR="001D70DC" w:rsidRDefault="001D70D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351F61A" w14:textId="78CB25C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5E1CA6C3" w14:textId="77777777" w:rsidR="004C6233" w:rsidRPr="00B532FC" w:rsidRDefault="004C6233" w:rsidP="0049231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sz w:val="16"/>
          <w:szCs w:val="21"/>
          <w:lang w:val="en-GB"/>
        </w:rPr>
      </w:pPr>
      <w:r w:rsidRPr="00B532FC">
        <w:rPr>
          <w:sz w:val="16"/>
          <w:szCs w:val="21"/>
          <w:lang w:val="en-GB"/>
        </w:rPr>
        <w:t>Boulter, J.H., Shields, M.M., Meister, M.R., Murtha, G., Curry, B.P. and Dengler, B.A. (2021). The expanding role of quantitative pupillometry in the evaluation and management of traumatic brain injury. Frontiers in neurology, 12, pp.1-5.</w:t>
      </w:r>
    </w:p>
    <w:p w14:paraId="72A68DA8" w14:textId="77777777" w:rsidR="001D7730" w:rsidRPr="00B532FC" w:rsidRDefault="004C6233" w:rsidP="0049231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sz w:val="16"/>
          <w:szCs w:val="21"/>
          <w:lang w:val="en-GB"/>
        </w:rPr>
      </w:pPr>
      <w:r w:rsidRPr="00B532FC">
        <w:rPr>
          <w:sz w:val="16"/>
          <w:szCs w:val="21"/>
          <w:lang w:val="en-GB"/>
        </w:rPr>
        <w:t xml:space="preserve">Chen, J.W., Vakil-Gilani, K., Williamson, K.L. and Cecil, S. (2014). Infrared pupillometry, the Neurological Pupil index and unilateral pupillary dilation after traumatic brain injury: implications for treatment paradigms. Springerplus, 3(1), pp.1-10. </w:t>
      </w:r>
    </w:p>
    <w:p w14:paraId="48D95E5C" w14:textId="77777777" w:rsidR="00B22213" w:rsidRPr="00B532FC" w:rsidRDefault="001D7730" w:rsidP="00B22213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sz w:val="15"/>
          <w:szCs w:val="20"/>
          <w:lang w:val="en-GB"/>
        </w:rPr>
      </w:pPr>
      <w:r w:rsidRPr="00B532FC">
        <w:rPr>
          <w:rFonts w:eastAsiaTheme="minorHAnsi"/>
          <w:sz w:val="16"/>
          <w:szCs w:val="16"/>
          <w:lang w:val="en-GB"/>
        </w:rPr>
        <w:t>El Ahmadieh, T.Y., Bedros, N., Stutzman, S.E., Nyancho, D., Venkatachalam, A.M., MacAllister, M., Ban, V.S., Dahdaleh, N.S., Aiyagari, V., Figueroa, S. and White, J.A. (2021). Automated pupillometry as a triage and assessment tool in patients with traumatic brain injury. World neurosurgery, 145, pp.e163-e169.</w:t>
      </w:r>
      <w:r w:rsidR="00492316" w:rsidRPr="00B532FC">
        <w:rPr>
          <w:rFonts w:eastAsiaTheme="minorHAnsi"/>
          <w:sz w:val="16"/>
          <w:szCs w:val="16"/>
          <w:lang w:val="en-GB"/>
        </w:rPr>
        <w:t xml:space="preserve"> </w:t>
      </w:r>
    </w:p>
    <w:p w14:paraId="191F5322" w14:textId="77777777" w:rsidR="00B22213" w:rsidRPr="00B532FC" w:rsidRDefault="00492316" w:rsidP="00B22213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sz w:val="15"/>
          <w:szCs w:val="20"/>
          <w:lang w:val="en-GB"/>
        </w:rPr>
      </w:pPr>
      <w:r w:rsidRPr="00B532FC">
        <w:rPr>
          <w:rFonts w:eastAsiaTheme="minorHAnsi"/>
          <w:sz w:val="16"/>
          <w:szCs w:val="16"/>
          <w:lang w:val="en-GB"/>
        </w:rPr>
        <w:t>Jahns, F.P., Miroz, J.P., Messerer, M., Daniel, R.T., Taccone, F.S., Eckert, P. and Oddo, M. (2019). Quantitative pupillometry for the monitoring of intracranial hypertension in patients with severe traumatic brain injury. Critical care, 23(1), pp.1-9.</w:t>
      </w:r>
      <w:r w:rsidR="00B22213" w:rsidRPr="00B532FC">
        <w:rPr>
          <w:rFonts w:eastAsiaTheme="minorHAnsi"/>
          <w:sz w:val="16"/>
          <w:szCs w:val="16"/>
          <w:lang w:val="en-GB"/>
        </w:rPr>
        <w:t xml:space="preserve"> </w:t>
      </w:r>
    </w:p>
    <w:p w14:paraId="09710B36" w14:textId="786A3DF0" w:rsidR="00492316" w:rsidRPr="00B532FC" w:rsidRDefault="00B22213" w:rsidP="00B22213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sz w:val="16"/>
          <w:szCs w:val="16"/>
          <w:lang w:val="en-GB"/>
        </w:rPr>
      </w:pPr>
      <w:r w:rsidRPr="00B532FC">
        <w:rPr>
          <w:rFonts w:eastAsiaTheme="minorHAnsi"/>
          <w:sz w:val="16"/>
          <w:szCs w:val="16"/>
          <w:lang w:val="en-GB"/>
        </w:rPr>
        <w:t>Teixeira, T.L., Peluso, L., Banco, P., Njimi, H., Abi-Khalil, L., Chanchay Pillajo, M., Schuind, S., Creteur, J., Bouzat, P. and Taccone, F.S. (2021). Early pupillometry assessment in traumatic brain injury patients: a retrospective study. Brain sciences, 11(12), p.1657-1668.</w:t>
      </w:r>
    </w:p>
    <w:p w14:paraId="3180AC2E" w14:textId="76E8317A" w:rsidR="00492316" w:rsidRPr="00492316" w:rsidRDefault="00492316">
      <w:pPr>
        <w:spacing w:line="200" w:lineRule="exact"/>
        <w:jc w:val="both"/>
        <w:rPr>
          <w:rFonts w:ascii="Calibri" w:hAnsi="Calibri" w:cs="Calibri"/>
          <w:sz w:val="18"/>
          <w:szCs w:val="18"/>
        </w:rPr>
        <w:sectPr w:rsidR="00492316" w:rsidRPr="00492316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05A37A1" w14:textId="77777777" w:rsidR="00AE3E37" w:rsidRDefault="00AE3E37">
      <w:pPr>
        <w:pStyle w:val="BodyText"/>
        <w:rPr>
          <w:rFonts w:ascii="Calibri"/>
          <w:sz w:val="20"/>
        </w:rPr>
      </w:pPr>
    </w:p>
    <w:p w14:paraId="1014E9F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EAA9B9F" wp14:editId="22211C7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99CD89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0D5F7CD9" w14:textId="7777777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D1AA7" wp14:editId="08045F53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A06D74" w14:textId="451F5F71" w:rsidR="00A52075" w:rsidRDefault="00C92B5A" w:rsidP="00C92B5A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"https://www.fmlm.ac.uk/sites/default/files/styles/medium/public/content/news/image/UofW_WMS_RGB.png?itok=cYWLWN1A"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9D4C30" wp14:editId="3080BAFC">
                                  <wp:extent cx="634463" cy="519029"/>
                                  <wp:effectExtent l="0" t="0" r="0" b="0"/>
                                  <wp:docPr id="3" name="Picture 3" descr="Warwick Medical School leads the way | Faculty of Medical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Warwick Medical School leads the way | Faculty of Medical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045" cy="523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4D1AA7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" strokecolor="#9bbb59" strokeweight="2.5pt">
                <v:shadow color="#868686"/>
                <v:textbox>
                  <w:txbxContent>
                    <w:p w14:paraId="70A06D74" w14:textId="451F5F71" w:rsidR="00A52075" w:rsidRDefault="00C92B5A" w:rsidP="00C92B5A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"https://www.fmlm.ac.uk/sites/default/files/styles/medium/public/content/news/image/UofW_WMS_RGB.png?itok=cYWLWN1A"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F9D4C30" wp14:editId="3080BAFC">
                            <wp:extent cx="634463" cy="519029"/>
                            <wp:effectExtent l="0" t="0" r="0" b="0"/>
                            <wp:docPr id="3" name="Picture 3" descr="Warwick Medical School leads the way | Faculty of Medical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Warwick Medical School leads the way | Faculty of Medical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045" cy="523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2AC9A0EF" wp14:editId="142FC9FE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1C98F" w14:textId="77777777" w:rsidR="00B83FA6" w:rsidRDefault="00B83FA6" w:rsidP="00B22213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14:paraId="7272C55E" w14:textId="3983CAD7" w:rsidR="00B83FA6" w:rsidRDefault="00C92B5A" w:rsidP="00B83FA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Carmen Chung is </w:t>
      </w:r>
      <w:r w:rsidR="00B83FA6">
        <w:rPr>
          <w:rFonts w:ascii="Arial"/>
          <w:sz w:val="14"/>
        </w:rPr>
        <w:t xml:space="preserve">currently </w:t>
      </w:r>
      <w:r>
        <w:rPr>
          <w:rFonts w:ascii="Arial"/>
          <w:sz w:val="14"/>
        </w:rPr>
        <w:t xml:space="preserve">a graduate entry medical student at Warwick Medical School. Prior to studying Medicine, </w:t>
      </w:r>
      <w:r w:rsidR="00B83FA6">
        <w:rPr>
          <w:rFonts w:ascii="Arial"/>
          <w:sz w:val="14"/>
        </w:rPr>
        <w:t xml:space="preserve">she was a Healthcare and Life Sciences Consultant. Carmen is passionate about </w:t>
      </w:r>
      <w:r w:rsidR="00B83FA6" w:rsidRPr="00B83FA6">
        <w:rPr>
          <w:rFonts w:ascii="Arial"/>
          <w:sz w:val="14"/>
          <w:lang w:val="en-GB"/>
        </w:rPr>
        <w:t>developing digital solutions to address unmet clinical needs and to improve patient experience.</w:t>
      </w:r>
      <w:r w:rsidR="00B83FA6">
        <w:rPr>
          <w:rFonts w:ascii="Arial"/>
          <w:sz w:val="14"/>
          <w:lang w:val="en-GB"/>
        </w:rPr>
        <w:t xml:space="preserve"> She seeks to bridge the gap between Medicine and digital health. </w:t>
      </w:r>
    </w:p>
    <w:p w14:paraId="30144CBA" w14:textId="2B9F61AC" w:rsidR="00AE3E37" w:rsidRPr="00F04B44" w:rsidRDefault="00A9710C" w:rsidP="00F04B4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C92B5A">
        <w:rPr>
          <w:rFonts w:ascii="Arial"/>
          <w:sz w:val="14"/>
        </w:rPr>
        <w:t>carmenchung17@gmail.com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864CE99" wp14:editId="1E56755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440DB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72063EE5" w14:textId="1C72DAA1" w:rsidR="00B83FA6" w:rsidRPr="00F04B44" w:rsidRDefault="00A9710C" w:rsidP="00F04B44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B088228" w14:textId="4BFE3363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C92B5A">
        <w:rPr>
          <w:sz w:val="20"/>
          <w:szCs w:val="20"/>
          <w:lang w:val="en-NZ"/>
        </w:rPr>
        <w:t>Carmen Chung</w:t>
      </w:r>
      <w:r w:rsidRPr="00F35A62">
        <w:rPr>
          <w:sz w:val="20"/>
          <w:szCs w:val="20"/>
          <w:lang w:val="en-NZ"/>
        </w:rPr>
        <w:br/>
        <w:t>Contact number:</w:t>
      </w:r>
      <w:r w:rsidR="00C92B5A">
        <w:rPr>
          <w:sz w:val="20"/>
          <w:szCs w:val="20"/>
          <w:lang w:val="en-NZ"/>
        </w:rPr>
        <w:t xml:space="preserve"> 07754147259</w:t>
      </w:r>
      <w:r w:rsidRPr="00F35A62">
        <w:rPr>
          <w:sz w:val="20"/>
          <w:szCs w:val="20"/>
          <w:lang w:val="en-NZ"/>
        </w:rPr>
        <w:br/>
        <w:t>Twitter account:</w:t>
      </w:r>
      <w:r w:rsidR="00C92B5A">
        <w:rPr>
          <w:sz w:val="20"/>
          <w:szCs w:val="20"/>
          <w:lang w:val="en-NZ"/>
        </w:rPr>
        <w:t xml:space="preserve"> carmenchung217</w:t>
      </w:r>
      <w:r w:rsidRPr="00F35A62">
        <w:rPr>
          <w:sz w:val="20"/>
          <w:szCs w:val="20"/>
          <w:lang w:val="en-NZ"/>
        </w:rPr>
        <w:br/>
        <w:t>LinkedIn account:</w:t>
      </w:r>
      <w:r w:rsidR="00C92B5A">
        <w:rPr>
          <w:sz w:val="20"/>
          <w:szCs w:val="20"/>
          <w:lang w:val="en-NZ"/>
        </w:rPr>
        <w:t xml:space="preserve"> carmenchung17</w:t>
      </w:r>
    </w:p>
    <w:p w14:paraId="29D458E8" w14:textId="00C955C5" w:rsidR="00EA7D51" w:rsidRPr="00C92B5A" w:rsidRDefault="00EA7D51" w:rsidP="00C92B5A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C92B5A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 xml:space="preserve">Category: </w:t>
      </w:r>
      <w:r w:rsidR="00F04B44">
        <w:rPr>
          <w:b/>
          <w:bCs/>
          <w:sz w:val="20"/>
          <w:szCs w:val="20"/>
          <w:lang w:val="en-NZ"/>
        </w:rPr>
        <w:t>Oral</w:t>
      </w:r>
      <w:r w:rsidRPr="00C92B5A">
        <w:rPr>
          <w:b/>
          <w:bCs/>
          <w:sz w:val="20"/>
          <w:szCs w:val="20"/>
          <w:lang w:val="en-NZ"/>
        </w:rPr>
        <w:t xml:space="preserve"> presentat</w:t>
      </w:r>
      <w:r w:rsidR="000955B5">
        <w:rPr>
          <w:b/>
          <w:bCs/>
          <w:sz w:val="20"/>
          <w:szCs w:val="20"/>
          <w:lang w:val="en-NZ"/>
        </w:rPr>
        <w:t>io</w:t>
      </w:r>
      <w:r w:rsidR="00B532FC">
        <w:rPr>
          <w:b/>
          <w:bCs/>
          <w:sz w:val="20"/>
          <w:szCs w:val="20"/>
          <w:lang w:val="en-NZ"/>
        </w:rPr>
        <w:t>n</w:t>
      </w:r>
    </w:p>
    <w:p w14:paraId="52637620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67B40" w14:textId="77777777" w:rsidR="00BF3115" w:rsidRDefault="00BF3115">
      <w:r>
        <w:separator/>
      </w:r>
    </w:p>
  </w:endnote>
  <w:endnote w:type="continuationSeparator" w:id="0">
    <w:p w14:paraId="0F3AE80F" w14:textId="77777777" w:rsidR="00BF3115" w:rsidRDefault="00BF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68060" w14:textId="1E1F4A46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52B2D8B1" wp14:editId="3171110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E449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9FA0F8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2D8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8.9pt;margin-top:798.8pt;width:91.4pt;height:26.0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" filled="f" stroked="f">
              <v:textbox inset="0,0,0,0">
                <w:txbxContent>
                  <w:p w14:paraId="40DE449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9FA0F8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D6E6A" w14:textId="77777777" w:rsidR="00BF3115" w:rsidRDefault="00BF3115">
      <w:r>
        <w:separator/>
      </w:r>
    </w:p>
  </w:footnote>
  <w:footnote w:type="continuationSeparator" w:id="0">
    <w:p w14:paraId="0E142907" w14:textId="77777777" w:rsidR="00BF3115" w:rsidRDefault="00BF3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644F7"/>
    <w:multiLevelType w:val="hybridMultilevel"/>
    <w:tmpl w:val="7EDE6B1A"/>
    <w:lvl w:ilvl="0" w:tplc="FFFFFFFF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FFFFFFFF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1C64FFF"/>
    <w:multiLevelType w:val="hybridMultilevel"/>
    <w:tmpl w:val="7EDE6B1A"/>
    <w:lvl w:ilvl="0" w:tplc="FFFFFFFF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FFFFFFFF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7379406F"/>
    <w:multiLevelType w:val="hybridMultilevel"/>
    <w:tmpl w:val="7EDE6B1A"/>
    <w:lvl w:ilvl="0" w:tplc="FFFFFFFF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FFFFFFFF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 w16cid:durableId="1664039683">
    <w:abstractNumId w:val="1"/>
  </w:num>
  <w:num w:numId="2" w16cid:durableId="1964770988">
    <w:abstractNumId w:val="3"/>
  </w:num>
  <w:num w:numId="3" w16cid:durableId="12485427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04669771">
    <w:abstractNumId w:val="2"/>
  </w:num>
  <w:num w:numId="5" w16cid:durableId="1944992686">
    <w:abstractNumId w:val="0"/>
  </w:num>
  <w:num w:numId="6" w16cid:durableId="745418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955B5"/>
    <w:rsid w:val="000B4CAA"/>
    <w:rsid w:val="000E2911"/>
    <w:rsid w:val="000E7FD8"/>
    <w:rsid w:val="001263DF"/>
    <w:rsid w:val="001D70DC"/>
    <w:rsid w:val="001D7730"/>
    <w:rsid w:val="00292ED9"/>
    <w:rsid w:val="002F1924"/>
    <w:rsid w:val="00351D9B"/>
    <w:rsid w:val="00380299"/>
    <w:rsid w:val="003E1F4D"/>
    <w:rsid w:val="00404E5B"/>
    <w:rsid w:val="00414F7B"/>
    <w:rsid w:val="004355DC"/>
    <w:rsid w:val="004749B4"/>
    <w:rsid w:val="00475D20"/>
    <w:rsid w:val="00491F65"/>
    <w:rsid w:val="00492316"/>
    <w:rsid w:val="00494130"/>
    <w:rsid w:val="004B7CB9"/>
    <w:rsid w:val="004C6233"/>
    <w:rsid w:val="004F3523"/>
    <w:rsid w:val="00590D60"/>
    <w:rsid w:val="005973B9"/>
    <w:rsid w:val="005B3A56"/>
    <w:rsid w:val="006060CE"/>
    <w:rsid w:val="0061505C"/>
    <w:rsid w:val="0063497F"/>
    <w:rsid w:val="00714354"/>
    <w:rsid w:val="007143EB"/>
    <w:rsid w:val="00722A55"/>
    <w:rsid w:val="00834CEC"/>
    <w:rsid w:val="00873DF0"/>
    <w:rsid w:val="008756E6"/>
    <w:rsid w:val="00897EC5"/>
    <w:rsid w:val="008A0763"/>
    <w:rsid w:val="008E5477"/>
    <w:rsid w:val="00917841"/>
    <w:rsid w:val="009B2D44"/>
    <w:rsid w:val="00A07E82"/>
    <w:rsid w:val="00A52075"/>
    <w:rsid w:val="00A9710C"/>
    <w:rsid w:val="00AE3E37"/>
    <w:rsid w:val="00B21A57"/>
    <w:rsid w:val="00B22213"/>
    <w:rsid w:val="00B532FC"/>
    <w:rsid w:val="00B83FA6"/>
    <w:rsid w:val="00BE6743"/>
    <w:rsid w:val="00BF3115"/>
    <w:rsid w:val="00C33602"/>
    <w:rsid w:val="00C56C74"/>
    <w:rsid w:val="00C62A13"/>
    <w:rsid w:val="00C92B5A"/>
    <w:rsid w:val="00CD6F55"/>
    <w:rsid w:val="00DE3104"/>
    <w:rsid w:val="00DE6170"/>
    <w:rsid w:val="00DF174C"/>
    <w:rsid w:val="00E30AAC"/>
    <w:rsid w:val="00E95D97"/>
    <w:rsid w:val="00EA7D51"/>
    <w:rsid w:val="00F046EA"/>
    <w:rsid w:val="00F04B44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2F263"/>
  <w15:docId w15:val="{FCFF56B3-E6DF-8747-8B7D-0D51127B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CHUNG, CARMEN (UG)</cp:lastModifiedBy>
  <cp:revision>21</cp:revision>
  <dcterms:created xsi:type="dcterms:W3CDTF">2023-01-07T13:37:00Z</dcterms:created>
  <dcterms:modified xsi:type="dcterms:W3CDTF">2023-02-10T10:23:00Z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