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7AFA1C" w14:textId="1719AEB4" w:rsidR="00447AD7" w:rsidRPr="00BC097E" w:rsidRDefault="00447AD7" w:rsidP="00447AD7">
      <w:pPr>
        <w:spacing w:line="360" w:lineRule="auto"/>
        <w:rPr>
          <w:rFonts w:ascii="Arial" w:hAnsi="Arial" w:cs="Arial"/>
          <w:color w:val="212529"/>
          <w:sz w:val="24"/>
          <w:szCs w:val="24"/>
          <w:shd w:val="clear" w:color="auto" w:fill="FCFCFC"/>
          <w:lang w:val="en-GB" w:eastAsia="de-DE"/>
        </w:rPr>
      </w:pPr>
      <w:r w:rsidRPr="00BC097E">
        <w:rPr>
          <w:rFonts w:ascii="Arial" w:hAnsi="Arial" w:cs="Arial"/>
          <w:sz w:val="24"/>
          <w:szCs w:val="24"/>
        </w:rPr>
        <w:t>Comparison of air versus 10% SF6 tamponade for the management of idiopathic macular holes</w:t>
      </w:r>
    </w:p>
    <w:p w14:paraId="645E8A17" w14:textId="4A438D7A" w:rsidR="005973B9" w:rsidRPr="00BC097E" w:rsidRDefault="00447AD7" w:rsidP="005973B9">
      <w:pPr>
        <w:pStyle w:val="BodyText"/>
        <w:spacing w:before="73" w:line="198" w:lineRule="exact"/>
        <w:ind w:left="100" w:right="5987"/>
        <w:rPr>
          <w:rFonts w:ascii="Arial" w:hAnsi="Arial" w:cs="Arial"/>
        </w:rPr>
      </w:pPr>
      <w:bookmarkStart w:id="0" w:name="_GoBack"/>
      <w:r w:rsidRPr="00BC097E">
        <w:rPr>
          <w:rFonts w:ascii="Arial" w:hAnsi="Arial" w:cs="Arial"/>
        </w:rPr>
        <w:t>Maximilian Gabriel</w:t>
      </w:r>
      <w:bookmarkEnd w:id="0"/>
      <w:r w:rsidRPr="00BC097E">
        <w:rPr>
          <w:rFonts w:ascii="Arial" w:hAnsi="Arial" w:cs="Arial"/>
        </w:rPr>
        <w:t>, MD, PhD, FEBO</w:t>
      </w:r>
    </w:p>
    <w:p w14:paraId="704F847D" w14:textId="77777777" w:rsidR="00FD76EC" w:rsidRPr="00BC097E" w:rsidRDefault="00FD76EC" w:rsidP="005973B9">
      <w:pPr>
        <w:pStyle w:val="BodyText"/>
        <w:spacing w:before="73" w:line="198" w:lineRule="exact"/>
        <w:ind w:left="100" w:right="5987"/>
        <w:rPr>
          <w:rFonts w:ascii="Arial" w:hAnsi="Arial" w:cs="Arial"/>
        </w:rPr>
      </w:pPr>
      <w:r w:rsidRPr="00BC097E">
        <w:rPr>
          <w:rFonts w:ascii="Arial" w:hAnsi="Arial" w:cs="Arial"/>
        </w:rPr>
        <w:t>Department of Ophthalmology</w:t>
      </w:r>
    </w:p>
    <w:p w14:paraId="1C975BD6" w14:textId="2BE0F624" w:rsidR="00447AD7" w:rsidRPr="00BC097E" w:rsidRDefault="00447AD7" w:rsidP="005973B9">
      <w:pPr>
        <w:pStyle w:val="BodyText"/>
        <w:spacing w:before="73" w:line="198" w:lineRule="exact"/>
        <w:ind w:left="100" w:right="5987"/>
        <w:rPr>
          <w:rFonts w:ascii="Arial" w:hAnsi="Arial" w:cs="Arial"/>
        </w:rPr>
      </w:pPr>
      <w:r w:rsidRPr="00BC097E">
        <w:rPr>
          <w:rFonts w:ascii="Arial" w:hAnsi="Arial" w:cs="Arial"/>
        </w:rPr>
        <w:t>Medical University Graz</w:t>
      </w:r>
      <w:r w:rsidR="004327E8" w:rsidRPr="00BC097E">
        <w:rPr>
          <w:rFonts w:ascii="Arial" w:hAnsi="Arial" w:cs="Arial"/>
        </w:rPr>
        <w:t>, Austria</w:t>
      </w:r>
    </w:p>
    <w:p w14:paraId="19E48DF7" w14:textId="77777777" w:rsidR="00AE3E37" w:rsidRPr="00BC097E" w:rsidRDefault="00AE3E37">
      <w:pPr>
        <w:pStyle w:val="BodyText"/>
        <w:rPr>
          <w:rFonts w:ascii="Arial" w:hAnsi="Arial" w:cs="Arial"/>
          <w:sz w:val="20"/>
        </w:rPr>
      </w:pPr>
    </w:p>
    <w:p w14:paraId="70270F00" w14:textId="77777777" w:rsidR="00AE3E37" w:rsidRPr="00BC097E" w:rsidRDefault="00AE3E37">
      <w:pPr>
        <w:rPr>
          <w:rFonts w:ascii="Arial" w:hAnsi="Arial" w:cs="Arial"/>
          <w:sz w:val="21"/>
        </w:rPr>
        <w:sectPr w:rsidR="00AE3E37" w:rsidRPr="00BC097E" w:rsidSect="008E5477">
          <w:footerReference w:type="default" r:id="rId8"/>
          <w:type w:val="continuous"/>
          <w:pgSz w:w="11910" w:h="16840"/>
          <w:pgMar w:top="995" w:right="600" w:bottom="840" w:left="620" w:header="0" w:footer="0" w:gutter="0"/>
          <w:cols w:space="720"/>
          <w:docGrid w:linePitch="299"/>
        </w:sectPr>
      </w:pPr>
    </w:p>
    <w:p w14:paraId="25775DC6" w14:textId="5378C5FB" w:rsidR="00AE3E37" w:rsidRPr="00BC097E" w:rsidRDefault="00A9710C" w:rsidP="00FD76EC">
      <w:pPr>
        <w:pStyle w:val="Heading3"/>
        <w:spacing w:before="147"/>
        <w:ind w:left="0"/>
        <w:jc w:val="both"/>
      </w:pPr>
      <w:r w:rsidRPr="00BC097E">
        <w:rPr>
          <w:color w:val="BF5A14"/>
        </w:rPr>
        <w:lastRenderedPageBreak/>
        <w:t>Abstract</w:t>
      </w:r>
      <w:r w:rsidR="00404E5B" w:rsidRPr="00BC097E">
        <w:rPr>
          <w:color w:val="BF5A14"/>
        </w:rPr>
        <w:t xml:space="preserve"> </w:t>
      </w:r>
    </w:p>
    <w:p w14:paraId="11876E18" w14:textId="77777777" w:rsidR="00E06181" w:rsidRPr="00BC097E" w:rsidRDefault="00E06181" w:rsidP="00E06181">
      <w:pPr>
        <w:spacing w:line="360" w:lineRule="auto"/>
        <w:rPr>
          <w:rFonts w:ascii="Arial" w:hAnsi="Arial" w:cs="Arial"/>
          <w:sz w:val="16"/>
          <w:szCs w:val="16"/>
        </w:rPr>
      </w:pPr>
    </w:p>
    <w:p w14:paraId="52397290" w14:textId="671E7A42" w:rsidR="00E06181" w:rsidRPr="00BC097E" w:rsidRDefault="00E06181" w:rsidP="00E06181">
      <w:pPr>
        <w:spacing w:line="360" w:lineRule="auto"/>
        <w:rPr>
          <w:rFonts w:ascii="Arial" w:hAnsi="Arial" w:cs="Arial"/>
          <w:color w:val="212529"/>
          <w:sz w:val="16"/>
          <w:szCs w:val="16"/>
          <w:shd w:val="clear" w:color="auto" w:fill="FCFCFC"/>
          <w:lang w:val="en-GB" w:eastAsia="de-DE"/>
        </w:rPr>
      </w:pPr>
      <w:r w:rsidRPr="00BC097E">
        <w:rPr>
          <w:rFonts w:ascii="Arial" w:hAnsi="Arial" w:cs="Arial"/>
          <w:b/>
          <w:bCs/>
          <w:sz w:val="16"/>
          <w:szCs w:val="16"/>
        </w:rPr>
        <w:t>Purpose</w:t>
      </w:r>
      <w:r w:rsidR="00A9710C" w:rsidRPr="00BC097E">
        <w:rPr>
          <w:rFonts w:ascii="Arial" w:hAnsi="Arial" w:cs="Arial"/>
          <w:b/>
          <w:bCs/>
          <w:sz w:val="16"/>
          <w:szCs w:val="16"/>
        </w:rPr>
        <w:t xml:space="preserve">: </w:t>
      </w:r>
      <w:r w:rsidRPr="00BC097E">
        <w:rPr>
          <w:rFonts w:ascii="Arial" w:hAnsi="Arial" w:cs="Arial"/>
          <w:sz w:val="16"/>
          <w:szCs w:val="16"/>
        </w:rPr>
        <w:t>To compare air versus 10% SF6 tamponade in vitrectomies for idiopathic macular holes.</w:t>
      </w:r>
      <w:r w:rsidRPr="00BC097E">
        <w:rPr>
          <w:rFonts w:ascii="Arial" w:hAnsi="Arial" w:cs="Arial"/>
          <w:color w:val="212529"/>
          <w:sz w:val="16"/>
          <w:szCs w:val="16"/>
          <w:shd w:val="clear" w:color="auto" w:fill="FCFCFC"/>
          <w:lang w:val="en-GB" w:eastAsia="de-DE"/>
        </w:rPr>
        <w:t xml:space="preserve"> </w:t>
      </w:r>
    </w:p>
    <w:p w14:paraId="71217C02" w14:textId="28593F77" w:rsidR="00E06181" w:rsidRPr="00BC097E" w:rsidRDefault="00A9710C" w:rsidP="00E06181">
      <w:pPr>
        <w:spacing w:line="360" w:lineRule="auto"/>
        <w:rPr>
          <w:rFonts w:ascii="Arial" w:hAnsi="Arial" w:cs="Arial"/>
          <w:color w:val="212529"/>
          <w:sz w:val="16"/>
          <w:szCs w:val="16"/>
          <w:shd w:val="clear" w:color="auto" w:fill="FCFCFC"/>
          <w:lang w:val="en-GB" w:eastAsia="de-DE"/>
        </w:rPr>
      </w:pPr>
      <w:r w:rsidRPr="00BC097E">
        <w:rPr>
          <w:rFonts w:ascii="Arial" w:hAnsi="Arial" w:cs="Arial"/>
          <w:b/>
          <w:bCs/>
          <w:sz w:val="16"/>
          <w:szCs w:val="16"/>
        </w:rPr>
        <w:t>Methodolog</w:t>
      </w:r>
      <w:r w:rsidR="008756E6" w:rsidRPr="00BC097E">
        <w:rPr>
          <w:rFonts w:ascii="Arial" w:hAnsi="Arial" w:cs="Arial"/>
          <w:b/>
          <w:bCs/>
          <w:sz w:val="16"/>
          <w:szCs w:val="16"/>
        </w:rPr>
        <w:t xml:space="preserve">y &amp; Theoretical Orientation: </w:t>
      </w:r>
      <w:r w:rsidR="00E06181" w:rsidRPr="00BC097E">
        <w:rPr>
          <w:rFonts w:ascii="Arial" w:hAnsi="Arial" w:cs="Arial"/>
          <w:bCs/>
          <w:color w:val="212529"/>
          <w:sz w:val="16"/>
          <w:szCs w:val="16"/>
          <w:lang w:val="en-GB" w:eastAsia="de-DE"/>
        </w:rPr>
        <w:t xml:space="preserve">Patients with </w:t>
      </w:r>
      <w:r w:rsidR="00E06181" w:rsidRPr="00BC097E">
        <w:rPr>
          <w:rFonts w:ascii="Arial" w:hAnsi="Arial" w:cs="Arial"/>
          <w:sz w:val="16"/>
          <w:szCs w:val="16"/>
        </w:rPr>
        <w:t xml:space="preserve">idiopathic macular holes were </w:t>
      </w:r>
      <w:proofErr w:type="spellStart"/>
      <w:r w:rsidR="00E06181" w:rsidRPr="00BC097E">
        <w:rPr>
          <w:rFonts w:ascii="Arial" w:hAnsi="Arial" w:cs="Arial"/>
          <w:sz w:val="16"/>
          <w:szCs w:val="16"/>
        </w:rPr>
        <w:t>vitrectomized</w:t>
      </w:r>
      <w:proofErr w:type="spellEnd"/>
      <w:r w:rsidR="00E06181" w:rsidRPr="00BC097E">
        <w:rPr>
          <w:rFonts w:ascii="Arial" w:hAnsi="Arial" w:cs="Arial"/>
          <w:sz w:val="16"/>
          <w:szCs w:val="16"/>
        </w:rPr>
        <w:t xml:space="preserve"> (27-gauge) and received either air or 10% SF6 tamponades after electronic randomization. </w:t>
      </w:r>
      <w:proofErr w:type="spellStart"/>
      <w:r w:rsidR="00E06181" w:rsidRPr="00BC097E">
        <w:rPr>
          <w:rFonts w:ascii="Arial" w:hAnsi="Arial" w:cs="Arial"/>
          <w:sz w:val="16"/>
          <w:szCs w:val="16"/>
        </w:rPr>
        <w:t>Gass</w:t>
      </w:r>
      <w:proofErr w:type="spellEnd"/>
      <w:r w:rsidR="00E06181" w:rsidRPr="00BC097E">
        <w:rPr>
          <w:rFonts w:ascii="Arial" w:hAnsi="Arial" w:cs="Arial"/>
          <w:sz w:val="16"/>
          <w:szCs w:val="16"/>
        </w:rPr>
        <w:t xml:space="preserve"> macular hole stages </w:t>
      </w:r>
      <w:proofErr w:type="spellStart"/>
      <w:r w:rsidR="00E06181" w:rsidRPr="00BC097E">
        <w:rPr>
          <w:rFonts w:ascii="Arial" w:hAnsi="Arial" w:cs="Arial"/>
          <w:sz w:val="16"/>
          <w:szCs w:val="16"/>
        </w:rPr>
        <w:t>Ia</w:t>
      </w:r>
      <w:proofErr w:type="spellEnd"/>
      <w:r w:rsidR="00E06181" w:rsidRPr="00BC097E">
        <w:rPr>
          <w:rFonts w:ascii="Arial" w:hAnsi="Arial" w:cs="Arial"/>
          <w:sz w:val="16"/>
          <w:szCs w:val="16"/>
        </w:rPr>
        <w:t xml:space="preserve">, </w:t>
      </w:r>
      <w:proofErr w:type="spellStart"/>
      <w:r w:rsidR="00E06181" w:rsidRPr="00BC097E">
        <w:rPr>
          <w:rFonts w:ascii="Arial" w:hAnsi="Arial" w:cs="Arial"/>
          <w:sz w:val="16"/>
          <w:szCs w:val="16"/>
        </w:rPr>
        <w:t>Ib</w:t>
      </w:r>
      <w:proofErr w:type="spellEnd"/>
      <w:r w:rsidR="00E06181" w:rsidRPr="00BC097E">
        <w:rPr>
          <w:rFonts w:ascii="Arial" w:hAnsi="Arial" w:cs="Arial"/>
          <w:sz w:val="16"/>
          <w:szCs w:val="16"/>
        </w:rPr>
        <w:t xml:space="preserve">, II, III and IV were included, provided the minimum linear diameter was under 600 </w:t>
      </w:r>
      <w:proofErr w:type="spellStart"/>
      <w:r w:rsidR="00E06181" w:rsidRPr="00BC097E">
        <w:rPr>
          <w:rFonts w:ascii="Arial" w:hAnsi="Arial" w:cs="Arial"/>
          <w:sz w:val="16"/>
          <w:szCs w:val="16"/>
        </w:rPr>
        <w:t>μm</w:t>
      </w:r>
      <w:proofErr w:type="spellEnd"/>
      <w:r w:rsidR="00E06181" w:rsidRPr="00BC097E">
        <w:rPr>
          <w:rFonts w:ascii="Arial" w:hAnsi="Arial" w:cs="Arial"/>
          <w:sz w:val="16"/>
          <w:szCs w:val="16"/>
        </w:rPr>
        <w:t xml:space="preserve"> (relevant for stages III and IV). Primary macular hole closure two weeks after surgery was assessed using </w:t>
      </w:r>
      <w:r w:rsidR="00E06181" w:rsidRPr="00BC097E">
        <w:rPr>
          <w:rFonts w:ascii="Arial" w:hAnsi="Arial" w:cs="Arial"/>
          <w:color w:val="212529"/>
          <w:sz w:val="16"/>
          <w:szCs w:val="16"/>
          <w:shd w:val="clear" w:color="auto" w:fill="FCFCFC"/>
          <w:lang w:val="en-GB" w:eastAsia="de-DE"/>
        </w:rPr>
        <w:t xml:space="preserve">spectral-domain optical coherence tomography and </w:t>
      </w:r>
      <w:r w:rsidR="00E06181" w:rsidRPr="00BC097E">
        <w:rPr>
          <w:rFonts w:ascii="Arial" w:hAnsi="Arial" w:cs="Arial"/>
          <w:sz w:val="16"/>
          <w:szCs w:val="16"/>
        </w:rPr>
        <w:t>served as the main outcome parameter. Both groups were compared using the unpaired Student’s t-test and a p value below 0.05 was considered significant.</w:t>
      </w:r>
    </w:p>
    <w:p w14:paraId="6E1598FD" w14:textId="77777777" w:rsidR="00E06181" w:rsidRPr="00BC097E" w:rsidRDefault="00A9710C" w:rsidP="00E06181">
      <w:pPr>
        <w:spacing w:line="360" w:lineRule="auto"/>
        <w:rPr>
          <w:rFonts w:ascii="Arial" w:hAnsi="Arial" w:cs="Arial"/>
          <w:sz w:val="16"/>
          <w:szCs w:val="16"/>
          <w:lang w:val="en-GB"/>
        </w:rPr>
      </w:pPr>
      <w:r w:rsidRPr="00BC097E">
        <w:rPr>
          <w:rFonts w:ascii="Arial" w:hAnsi="Arial" w:cs="Arial"/>
          <w:b/>
          <w:bCs/>
          <w:sz w:val="16"/>
          <w:szCs w:val="16"/>
        </w:rPr>
        <w:t>Findings:</w:t>
      </w:r>
      <w:r w:rsidRPr="00BC097E">
        <w:rPr>
          <w:rFonts w:ascii="Arial" w:hAnsi="Arial" w:cs="Arial"/>
          <w:sz w:val="16"/>
          <w:szCs w:val="16"/>
        </w:rPr>
        <w:t xml:space="preserve"> </w:t>
      </w:r>
      <w:r w:rsidR="00E06181" w:rsidRPr="00BC097E">
        <w:rPr>
          <w:rFonts w:ascii="Arial" w:hAnsi="Arial" w:cs="Arial"/>
          <w:color w:val="212529"/>
          <w:sz w:val="16"/>
          <w:szCs w:val="16"/>
          <w:shd w:val="clear" w:color="auto" w:fill="FCFCFC"/>
          <w:lang w:val="en-GB" w:eastAsia="de-DE"/>
        </w:rPr>
        <w:t xml:space="preserve">18 eyes of 18 patients (13 women; 72%) were recruited and mean patient age at the time of surgery was 67.4 years (range 56 - 85, SD 8.7). Mean preoperative macular hole minimum linear diameter was </w:t>
      </w:r>
      <w:r w:rsidR="00E06181" w:rsidRPr="00BC097E">
        <w:rPr>
          <w:rFonts w:ascii="Arial" w:hAnsi="Arial" w:cs="Arial"/>
          <w:sz w:val="16"/>
          <w:szCs w:val="16"/>
          <w:lang w:val="en-GB"/>
        </w:rPr>
        <w:t xml:space="preserve">171 </w:t>
      </w:r>
      <w:proofErr w:type="spellStart"/>
      <w:r w:rsidR="00E06181" w:rsidRPr="00BC097E">
        <w:rPr>
          <w:rFonts w:ascii="Arial" w:hAnsi="Arial" w:cs="Arial"/>
          <w:sz w:val="16"/>
          <w:szCs w:val="16"/>
          <w:lang w:val="en-GB"/>
        </w:rPr>
        <w:t>μm</w:t>
      </w:r>
      <w:proofErr w:type="spellEnd"/>
      <w:r w:rsidR="00E06181" w:rsidRPr="00BC097E">
        <w:rPr>
          <w:rFonts w:ascii="Arial" w:hAnsi="Arial" w:cs="Arial"/>
          <w:sz w:val="16"/>
          <w:szCs w:val="16"/>
          <w:lang w:val="en-GB"/>
        </w:rPr>
        <w:t xml:space="preserve"> (range 0 - 355 </w:t>
      </w:r>
      <w:proofErr w:type="spellStart"/>
      <w:r w:rsidR="00E06181" w:rsidRPr="00BC097E">
        <w:rPr>
          <w:rFonts w:ascii="Arial" w:hAnsi="Arial" w:cs="Arial"/>
          <w:sz w:val="16"/>
          <w:szCs w:val="16"/>
          <w:lang w:val="en-GB"/>
        </w:rPr>
        <w:t>μm</w:t>
      </w:r>
      <w:proofErr w:type="spellEnd"/>
      <w:r w:rsidR="00E06181" w:rsidRPr="00BC097E">
        <w:rPr>
          <w:rFonts w:ascii="Arial" w:hAnsi="Arial" w:cs="Arial"/>
          <w:sz w:val="16"/>
          <w:szCs w:val="16"/>
          <w:lang w:val="en-GB"/>
        </w:rPr>
        <w:t xml:space="preserve">, SD 140 </w:t>
      </w:r>
      <w:proofErr w:type="spellStart"/>
      <w:r w:rsidR="00E06181" w:rsidRPr="00BC097E">
        <w:rPr>
          <w:rFonts w:ascii="Arial" w:hAnsi="Arial" w:cs="Arial"/>
          <w:sz w:val="16"/>
          <w:szCs w:val="16"/>
          <w:lang w:val="en-GB"/>
        </w:rPr>
        <w:t>μm</w:t>
      </w:r>
      <w:proofErr w:type="spellEnd"/>
      <w:r w:rsidR="00E06181" w:rsidRPr="00BC097E">
        <w:rPr>
          <w:rFonts w:ascii="Arial" w:hAnsi="Arial" w:cs="Arial"/>
          <w:sz w:val="16"/>
          <w:szCs w:val="16"/>
          <w:lang w:val="en-GB"/>
        </w:rPr>
        <w:t xml:space="preserve">) and 181 </w:t>
      </w:r>
      <w:proofErr w:type="spellStart"/>
      <w:r w:rsidR="00E06181" w:rsidRPr="00BC097E">
        <w:rPr>
          <w:rFonts w:ascii="Arial" w:hAnsi="Arial" w:cs="Arial"/>
          <w:sz w:val="16"/>
          <w:szCs w:val="16"/>
          <w:lang w:val="en-GB"/>
        </w:rPr>
        <w:t>μm</w:t>
      </w:r>
      <w:proofErr w:type="spellEnd"/>
      <w:r w:rsidR="00E06181" w:rsidRPr="00BC097E">
        <w:rPr>
          <w:rFonts w:ascii="Arial" w:hAnsi="Arial" w:cs="Arial"/>
          <w:sz w:val="16"/>
          <w:szCs w:val="16"/>
          <w:lang w:val="en-GB"/>
        </w:rPr>
        <w:t xml:space="preserve"> (range 0 - 336 </w:t>
      </w:r>
      <w:proofErr w:type="spellStart"/>
      <w:r w:rsidR="00E06181" w:rsidRPr="00BC097E">
        <w:rPr>
          <w:rFonts w:ascii="Arial" w:hAnsi="Arial" w:cs="Arial"/>
          <w:sz w:val="16"/>
          <w:szCs w:val="16"/>
          <w:lang w:val="en-GB"/>
        </w:rPr>
        <w:t>μm</w:t>
      </w:r>
      <w:proofErr w:type="spellEnd"/>
      <w:r w:rsidR="00E06181" w:rsidRPr="00BC097E">
        <w:rPr>
          <w:rFonts w:ascii="Arial" w:hAnsi="Arial" w:cs="Arial"/>
          <w:sz w:val="16"/>
          <w:szCs w:val="16"/>
          <w:lang w:val="en-GB"/>
        </w:rPr>
        <w:t xml:space="preserve">, SD 116 </w:t>
      </w:r>
      <w:proofErr w:type="spellStart"/>
      <w:r w:rsidR="00E06181" w:rsidRPr="00BC097E">
        <w:rPr>
          <w:rFonts w:ascii="Arial" w:hAnsi="Arial" w:cs="Arial"/>
          <w:sz w:val="16"/>
          <w:szCs w:val="16"/>
          <w:lang w:val="en-GB"/>
        </w:rPr>
        <w:t>μm</w:t>
      </w:r>
      <w:proofErr w:type="spellEnd"/>
      <w:r w:rsidR="00E06181" w:rsidRPr="00BC097E">
        <w:rPr>
          <w:rFonts w:ascii="Arial" w:hAnsi="Arial" w:cs="Arial"/>
          <w:sz w:val="16"/>
          <w:szCs w:val="16"/>
          <w:lang w:val="en-GB"/>
        </w:rPr>
        <w:t xml:space="preserve">) for the air and 10% SF6 group, respectively (p = 0.87). There were no statistically significant differences in pre- (air mean 0.27 Snellen, range 0.1 - 0.5, SD 0.1; 10% SF6 mean 0.35 Snellen, range 0.25 - 0.5, SD 0.07) or postoperative (air mean 0.46 Snellen, range 0.22 - 0.78, SD 0.15; 10% SF6 mean 0.59 Snellen, range 0.22 - 0.8, SD 0.19) visual acuity or axial eye length (air mean 23.77 mm, range 22.82 - 24.4, SD 0.5; 10% SF6 mean 24.53 mm, range 23.42 - 26.63, SD 1.2) between both groups (p &gt; 0.05). All </w:t>
      </w:r>
      <w:r w:rsidR="00E06181" w:rsidRPr="00BC097E">
        <w:rPr>
          <w:rFonts w:ascii="Arial" w:hAnsi="Arial" w:cs="Arial"/>
          <w:color w:val="212529"/>
          <w:sz w:val="16"/>
          <w:szCs w:val="16"/>
          <w:shd w:val="clear" w:color="auto" w:fill="FCFCFC"/>
          <w:lang w:val="en-GB" w:eastAsia="de-DE"/>
        </w:rPr>
        <w:t xml:space="preserve">18 patients were </w:t>
      </w:r>
      <w:proofErr w:type="spellStart"/>
      <w:r w:rsidR="00E06181" w:rsidRPr="00BC097E">
        <w:rPr>
          <w:rFonts w:ascii="Arial" w:hAnsi="Arial" w:cs="Arial"/>
          <w:color w:val="212529"/>
          <w:sz w:val="16"/>
          <w:szCs w:val="16"/>
          <w:shd w:val="clear" w:color="auto" w:fill="FCFCFC"/>
          <w:lang w:val="en-GB" w:eastAsia="de-DE"/>
        </w:rPr>
        <w:t>vitrectomized</w:t>
      </w:r>
      <w:proofErr w:type="spellEnd"/>
      <w:r w:rsidR="00E06181" w:rsidRPr="00BC097E">
        <w:rPr>
          <w:rFonts w:ascii="Arial" w:hAnsi="Arial" w:cs="Arial"/>
          <w:color w:val="212529"/>
          <w:sz w:val="16"/>
          <w:szCs w:val="16"/>
          <w:shd w:val="clear" w:color="auto" w:fill="FCFCFC"/>
          <w:lang w:val="en-GB" w:eastAsia="de-DE"/>
        </w:rPr>
        <w:t xml:space="preserve"> successfully with primary macular hole closure two weeks after surgery confirmed by spectral-domain optical coherence tomography.</w:t>
      </w:r>
      <w:r w:rsidR="00E06181" w:rsidRPr="00BC097E">
        <w:rPr>
          <w:rFonts w:ascii="Arial" w:hAnsi="Arial" w:cs="Arial"/>
          <w:sz w:val="16"/>
          <w:szCs w:val="16"/>
          <w:lang w:val="en-GB"/>
        </w:rPr>
        <w:t xml:space="preserve"> </w:t>
      </w:r>
    </w:p>
    <w:p w14:paraId="1CC943C5" w14:textId="02A9189B" w:rsidR="00E06181" w:rsidRPr="00BC097E" w:rsidRDefault="00A9710C" w:rsidP="00E06181">
      <w:pPr>
        <w:spacing w:line="360" w:lineRule="auto"/>
        <w:rPr>
          <w:rFonts w:ascii="Arial" w:hAnsi="Arial" w:cs="Arial"/>
          <w:sz w:val="16"/>
          <w:szCs w:val="16"/>
          <w:lang w:val="en-GB"/>
        </w:rPr>
      </w:pPr>
      <w:r w:rsidRPr="00BC097E">
        <w:rPr>
          <w:rFonts w:ascii="Arial" w:hAnsi="Arial" w:cs="Arial"/>
          <w:b/>
          <w:bCs/>
          <w:sz w:val="16"/>
          <w:szCs w:val="16"/>
        </w:rPr>
        <w:t xml:space="preserve">Conclusion &amp; Significance: </w:t>
      </w:r>
      <w:r w:rsidR="00E06181" w:rsidRPr="00BC097E">
        <w:rPr>
          <w:rFonts w:ascii="Arial" w:hAnsi="Arial" w:cs="Arial"/>
          <w:sz w:val="16"/>
          <w:szCs w:val="16"/>
        </w:rPr>
        <w:t xml:space="preserve">Air tamponade showed comparable anatomic results to 10% SF6 in our series. </w:t>
      </w:r>
    </w:p>
    <w:p w14:paraId="6F55489F" w14:textId="70399968" w:rsidR="00AE3E37" w:rsidRPr="00BC097E" w:rsidRDefault="00AE3E37">
      <w:pPr>
        <w:pStyle w:val="BodyText"/>
        <w:spacing w:before="90" w:line="280" w:lineRule="auto"/>
        <w:ind w:left="100"/>
        <w:jc w:val="both"/>
        <w:rPr>
          <w:rFonts w:ascii="Arial" w:hAnsi="Arial" w:cs="Arial"/>
          <w:sz w:val="16"/>
          <w:szCs w:val="16"/>
        </w:rPr>
      </w:pPr>
    </w:p>
    <w:p w14:paraId="68D82E33" w14:textId="77777777" w:rsidR="00CF72F5" w:rsidRPr="00BC097E" w:rsidRDefault="00A9710C" w:rsidP="004B52DC">
      <w:pPr>
        <w:pStyle w:val="Heading3"/>
        <w:spacing w:before="74"/>
        <w:ind w:left="0"/>
        <w:rPr>
          <w:color w:val="BF5A14"/>
        </w:rPr>
      </w:pPr>
      <w:r w:rsidRPr="00BC097E">
        <w:rPr>
          <w:b w:val="0"/>
        </w:rPr>
        <w:br w:type="column"/>
      </w:r>
    </w:p>
    <w:p w14:paraId="424EFCD2" w14:textId="7B33D02B" w:rsidR="005973B9" w:rsidRPr="00BC097E" w:rsidRDefault="005973B9" w:rsidP="004B52DC">
      <w:pPr>
        <w:pStyle w:val="Heading3"/>
        <w:spacing w:before="74"/>
        <w:ind w:left="0"/>
        <w:rPr>
          <w:color w:val="BF5A14"/>
        </w:rPr>
      </w:pPr>
      <w:r w:rsidRPr="00BC097E">
        <w:rPr>
          <w:color w:val="BF5A14"/>
        </w:rPr>
        <w:br/>
        <w:t xml:space="preserve">Recent Publications </w:t>
      </w:r>
    </w:p>
    <w:p w14:paraId="0DC604C0" w14:textId="77777777" w:rsidR="00224D2A" w:rsidRPr="00BC097E" w:rsidRDefault="00224D2A" w:rsidP="004B52DC">
      <w:pPr>
        <w:pStyle w:val="Heading3"/>
        <w:spacing w:before="74"/>
        <w:ind w:left="0"/>
      </w:pPr>
    </w:p>
    <w:p w14:paraId="2B01D740" w14:textId="77777777" w:rsidR="00224D2A" w:rsidRPr="00BC097E" w:rsidRDefault="00224D2A" w:rsidP="00224D2A">
      <w:pPr>
        <w:pStyle w:val="EndNoteBibliography"/>
        <w:numPr>
          <w:ilvl w:val="0"/>
          <w:numId w:val="3"/>
        </w:numPr>
        <w:rPr>
          <w:rFonts w:ascii="Arial" w:hAnsi="Arial" w:cs="Arial"/>
          <w:noProof/>
          <w:sz w:val="16"/>
          <w:szCs w:val="16"/>
        </w:rPr>
      </w:pPr>
      <w:r w:rsidRPr="00BC097E">
        <w:rPr>
          <w:rFonts w:ascii="Arial" w:hAnsi="Arial" w:cs="Arial"/>
          <w:noProof/>
          <w:sz w:val="16"/>
          <w:szCs w:val="16"/>
        </w:rPr>
        <w:t>Gass JD. Reappraisal of biomicroscopic classification of stages of development of a macular hole. American journal of ophthalmology. 1995;119(6):752-9.</w:t>
      </w:r>
    </w:p>
    <w:p w14:paraId="4B8CB52E" w14:textId="77777777" w:rsidR="00224D2A" w:rsidRPr="00BC097E" w:rsidRDefault="00224D2A" w:rsidP="00224D2A">
      <w:pPr>
        <w:pStyle w:val="EndNoteBibliography"/>
        <w:numPr>
          <w:ilvl w:val="0"/>
          <w:numId w:val="3"/>
        </w:numPr>
        <w:rPr>
          <w:rFonts w:ascii="Arial" w:hAnsi="Arial" w:cs="Arial"/>
          <w:noProof/>
          <w:sz w:val="16"/>
          <w:szCs w:val="16"/>
        </w:rPr>
      </w:pPr>
      <w:r w:rsidRPr="00BC097E">
        <w:rPr>
          <w:rFonts w:ascii="Arial" w:hAnsi="Arial" w:cs="Arial"/>
          <w:noProof/>
          <w:sz w:val="16"/>
          <w:szCs w:val="16"/>
        </w:rPr>
        <w:t>Wakely L, Rahman R, Stephenson J. A comparison of several methods of macular hole measurement using optical coherence tomography, and their value in predicting anatomical and visual outcomes. The British journal of ophthalmology. 2012;96(7):1003-7.</w:t>
      </w:r>
    </w:p>
    <w:p w14:paraId="319D28C4" w14:textId="77777777" w:rsidR="00224D2A" w:rsidRPr="00BC097E" w:rsidRDefault="00224D2A" w:rsidP="00224D2A">
      <w:pPr>
        <w:pStyle w:val="EndNoteBibliography"/>
        <w:numPr>
          <w:ilvl w:val="0"/>
          <w:numId w:val="3"/>
        </w:numPr>
        <w:rPr>
          <w:rFonts w:ascii="Arial" w:hAnsi="Arial" w:cs="Arial"/>
          <w:noProof/>
          <w:sz w:val="16"/>
          <w:szCs w:val="16"/>
        </w:rPr>
      </w:pPr>
      <w:r w:rsidRPr="00BC097E">
        <w:rPr>
          <w:rFonts w:ascii="Arial" w:hAnsi="Arial" w:cs="Arial"/>
          <w:noProof/>
          <w:sz w:val="16"/>
          <w:szCs w:val="16"/>
        </w:rPr>
        <w:t>Usui H, Yasukawa T, Hirano Y, Morita H, Yoshida M, Ogura Y. Comparative study of the effects of room air and sulfur hexafluoride gas tamponade on functional and morphological recovery after macular hole surgery: a retrospective study. Ophthalmic research. 2013;50(4):227-30.</w:t>
      </w:r>
    </w:p>
    <w:p w14:paraId="11D1BA54" w14:textId="5364FF1E" w:rsidR="00224D2A" w:rsidRPr="00BC097E" w:rsidRDefault="00224D2A" w:rsidP="00224D2A">
      <w:pPr>
        <w:pStyle w:val="EndNoteBibliography"/>
        <w:numPr>
          <w:ilvl w:val="0"/>
          <w:numId w:val="3"/>
        </w:numPr>
        <w:rPr>
          <w:rFonts w:ascii="Arial" w:hAnsi="Arial" w:cs="Arial"/>
          <w:noProof/>
          <w:sz w:val="16"/>
          <w:szCs w:val="16"/>
        </w:rPr>
      </w:pPr>
      <w:r w:rsidRPr="00BC097E">
        <w:rPr>
          <w:rFonts w:ascii="Arial" w:hAnsi="Arial" w:cs="Arial"/>
          <w:noProof/>
          <w:sz w:val="16"/>
          <w:szCs w:val="16"/>
        </w:rPr>
        <w:t>Chen X, Yao Y, Hao X, Liu X, Liu T. A Comparative Study of Vitrectomy Combined with Internal Limiting Membrane Peeling for the Treatment of Idiopathic Macular Hole with Air or C3F8 Intraocular Tamponade. Journal of ophthalmology. 2018;2018:1672501.</w:t>
      </w:r>
    </w:p>
    <w:p w14:paraId="57F504C2" w14:textId="613A1285" w:rsidR="00224D2A" w:rsidRPr="00BC097E" w:rsidRDefault="00224D2A" w:rsidP="00224D2A">
      <w:pPr>
        <w:pStyle w:val="EndNoteBibliography"/>
        <w:numPr>
          <w:ilvl w:val="0"/>
          <w:numId w:val="3"/>
        </w:numPr>
        <w:rPr>
          <w:rFonts w:ascii="Arial" w:hAnsi="Arial" w:cs="Arial"/>
          <w:noProof/>
          <w:sz w:val="16"/>
          <w:szCs w:val="16"/>
        </w:rPr>
      </w:pPr>
      <w:r w:rsidRPr="00BC097E">
        <w:rPr>
          <w:rFonts w:ascii="Arial" w:hAnsi="Arial" w:cs="Arial"/>
          <w:noProof/>
          <w:sz w:val="16"/>
          <w:szCs w:val="16"/>
        </w:rPr>
        <w:t>Forsaa VA, Krohn J. AIR TAMPONADE COMBINED WITH NONSUPINE POSITIONING IN MACULAR HOLE SURGERY FOR PSEUDOPHAKIC EYES. Retina (Philadelphia, Pa). 2017;37(9):1750-6.</w:t>
      </w:r>
    </w:p>
    <w:p w14:paraId="0D376657" w14:textId="6DC472E5" w:rsidR="00AE3E37" w:rsidRPr="00BC097E" w:rsidRDefault="00AE3E37" w:rsidP="00224D2A">
      <w:pPr>
        <w:pStyle w:val="BodyText"/>
        <w:spacing w:before="85" w:line="216" w:lineRule="exact"/>
        <w:ind w:left="383" w:right="138" w:hanging="284"/>
        <w:jc w:val="both"/>
        <w:rPr>
          <w:rFonts w:ascii="Arial" w:hAnsi="Arial" w:cs="Arial"/>
        </w:rPr>
      </w:pPr>
    </w:p>
    <w:p w14:paraId="215DD02E" w14:textId="77777777" w:rsidR="00AE3E37" w:rsidRPr="00BC097E" w:rsidRDefault="008756E6">
      <w:pPr>
        <w:spacing w:line="200" w:lineRule="exact"/>
        <w:jc w:val="both"/>
        <w:rPr>
          <w:rFonts w:ascii="Arial" w:hAnsi="Arial" w:cs="Arial"/>
        </w:rPr>
        <w:sectPr w:rsidR="00AE3E37" w:rsidRPr="00BC097E" w:rsidSect="008E5477">
          <w:type w:val="continuous"/>
          <w:pgSz w:w="11910" w:h="16840"/>
          <w:pgMar w:top="995" w:right="600" w:bottom="840" w:left="620" w:header="720" w:footer="720" w:gutter="0"/>
          <w:cols w:num="2" w:space="720" w:equalWidth="0">
            <w:col w:w="5214" w:space="138"/>
            <w:col w:w="5338"/>
          </w:cols>
        </w:sectPr>
      </w:pPr>
      <w:r w:rsidRPr="00BC097E">
        <w:rPr>
          <w:rFonts w:ascii="Arial" w:hAnsi="Arial" w:cs="Arial"/>
        </w:rPr>
        <w:t xml:space="preserve">   </w:t>
      </w:r>
    </w:p>
    <w:p w14:paraId="27082D82" w14:textId="77777777" w:rsidR="00AE3E37" w:rsidRPr="00BC097E" w:rsidRDefault="00AE3E37">
      <w:pPr>
        <w:pStyle w:val="BodyText"/>
        <w:rPr>
          <w:rFonts w:ascii="Arial" w:hAnsi="Arial" w:cs="Arial"/>
          <w:sz w:val="20"/>
        </w:rPr>
      </w:pPr>
    </w:p>
    <w:p w14:paraId="7FC6A1EC" w14:textId="77777777" w:rsidR="00AE3E37" w:rsidRPr="00BC097E" w:rsidRDefault="00292ED9">
      <w:pPr>
        <w:pStyle w:val="BodyText"/>
        <w:spacing w:line="40" w:lineRule="exact"/>
        <w:ind w:left="2202"/>
        <w:rPr>
          <w:rFonts w:ascii="Arial" w:hAnsi="Arial" w:cs="Arial"/>
          <w:sz w:val="4"/>
        </w:rPr>
      </w:pPr>
      <w:r w:rsidRPr="00BC097E">
        <w:rPr>
          <w:rFonts w:ascii="Arial" w:hAnsi="Arial" w:cs="Arial"/>
          <w:noProof/>
          <w:sz w:val="4"/>
          <w:lang w:val="en-IN" w:eastAsia="en-IN"/>
        </w:rPr>
        <mc:AlternateContent>
          <mc:Choice Requires="wpg">
            <w:drawing>
              <wp:inline distT="0" distB="0" distL="0" distR="0" wp14:anchorId="186D79F8" wp14:editId="3AECD49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E316368" w14:textId="77777777" w:rsidR="00D44953" w:rsidRPr="00BC097E" w:rsidRDefault="00D44953" w:rsidP="00404E5B">
      <w:pPr>
        <w:spacing w:before="92"/>
        <w:ind w:right="4234"/>
        <w:rPr>
          <w:rFonts w:ascii="Arial" w:hAnsi="Arial" w:cs="Arial"/>
          <w:color w:val="BF5A14"/>
        </w:rPr>
      </w:pPr>
      <w:r w:rsidRPr="00BC097E">
        <w:rPr>
          <w:rFonts w:ascii="Arial" w:hAnsi="Arial" w:cs="Arial"/>
          <w:noProof/>
          <w:lang w:val="en-IN" w:eastAsia="en-IN"/>
        </w:rPr>
        <w:drawing>
          <wp:inline distT="0" distB="0" distL="0" distR="0" wp14:anchorId="2153365F" wp14:editId="740AB9E9">
            <wp:extent cx="831600" cy="6228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1600" cy="622800"/>
                    </a:xfrm>
                    <a:prstGeom prst="rect">
                      <a:avLst/>
                    </a:prstGeom>
                  </pic:spPr>
                </pic:pic>
              </a:graphicData>
            </a:graphic>
          </wp:inline>
        </w:drawing>
      </w:r>
      <w:r w:rsidRPr="00BC097E">
        <w:rPr>
          <w:rFonts w:ascii="Arial" w:hAnsi="Arial" w:cs="Arial"/>
          <w:color w:val="BF5A14"/>
        </w:rPr>
        <w:t xml:space="preserve"> </w:t>
      </w:r>
    </w:p>
    <w:p w14:paraId="07DA6808" w14:textId="77777777" w:rsidR="00FD76EC" w:rsidRPr="00BC097E" w:rsidRDefault="00FD76EC" w:rsidP="00D44953">
      <w:pPr>
        <w:spacing w:before="92"/>
        <w:ind w:right="4234" w:firstLine="213"/>
        <w:rPr>
          <w:rFonts w:ascii="Arial" w:hAnsi="Arial" w:cs="Arial"/>
          <w:color w:val="BF5A14"/>
        </w:rPr>
      </w:pPr>
    </w:p>
    <w:p w14:paraId="023EE8CD" w14:textId="359A9F34" w:rsidR="00AE3E37" w:rsidRPr="00BC097E" w:rsidRDefault="00A9710C" w:rsidP="00D44953">
      <w:pPr>
        <w:spacing w:before="92"/>
        <w:ind w:right="4234" w:firstLine="213"/>
        <w:rPr>
          <w:rFonts w:ascii="Arial" w:hAnsi="Arial" w:cs="Arial"/>
        </w:rPr>
      </w:pPr>
      <w:r w:rsidRPr="00BC097E">
        <w:rPr>
          <w:rFonts w:ascii="Arial" w:hAnsi="Arial" w:cs="Arial"/>
          <w:color w:val="BF5A14"/>
        </w:rPr>
        <w:t>Biography</w:t>
      </w:r>
      <w:r w:rsidR="00404E5B" w:rsidRPr="00BC097E">
        <w:rPr>
          <w:rFonts w:ascii="Arial" w:hAnsi="Arial" w:cs="Arial"/>
          <w:color w:val="BF5A14"/>
        </w:rPr>
        <w:t xml:space="preserve"> </w:t>
      </w:r>
    </w:p>
    <w:p w14:paraId="0383B544" w14:textId="77777777" w:rsidR="00FD76EC" w:rsidRPr="00BC097E" w:rsidRDefault="00FD76EC">
      <w:pPr>
        <w:spacing w:before="41" w:line="154" w:lineRule="exact"/>
        <w:ind w:left="213" w:right="231"/>
        <w:jc w:val="both"/>
        <w:rPr>
          <w:rFonts w:ascii="Arial" w:hAnsi="Arial" w:cs="Arial"/>
          <w:sz w:val="14"/>
        </w:rPr>
      </w:pPr>
    </w:p>
    <w:p w14:paraId="4275C2EF" w14:textId="49D5EC7B" w:rsidR="00AE3E37" w:rsidRPr="00BC097E" w:rsidRDefault="00896F82">
      <w:pPr>
        <w:spacing w:before="41" w:line="154" w:lineRule="exact"/>
        <w:ind w:left="213" w:right="231"/>
        <w:jc w:val="both"/>
        <w:rPr>
          <w:rFonts w:ascii="Arial" w:hAnsi="Arial" w:cs="Arial"/>
          <w:sz w:val="14"/>
        </w:rPr>
      </w:pPr>
      <w:r w:rsidRPr="00BC097E">
        <w:rPr>
          <w:rFonts w:ascii="Arial" w:hAnsi="Arial" w:cs="Arial"/>
          <w:sz w:val="14"/>
        </w:rPr>
        <w:t>Maximilian Gabriel is an ophthalmologist from Graz, Austria. He holds a PhD degree from the Medical University of Vienna and specializes in vitreoretinal surgery.</w:t>
      </w:r>
    </w:p>
    <w:p w14:paraId="61F16EE6" w14:textId="77777777" w:rsidR="00D44953" w:rsidRPr="00BC097E" w:rsidRDefault="00D44953">
      <w:pPr>
        <w:spacing w:before="62"/>
        <w:ind w:left="4217" w:right="4235"/>
        <w:jc w:val="center"/>
        <w:rPr>
          <w:rFonts w:ascii="Arial" w:hAnsi="Arial" w:cs="Arial"/>
          <w:sz w:val="14"/>
        </w:rPr>
      </w:pPr>
    </w:p>
    <w:p w14:paraId="3AC42916" w14:textId="2FB2303D" w:rsidR="00AE3E37" w:rsidRPr="00BC097E" w:rsidRDefault="00A9710C">
      <w:pPr>
        <w:spacing w:before="62"/>
        <w:ind w:left="4217" w:right="4235"/>
        <w:jc w:val="center"/>
        <w:rPr>
          <w:rFonts w:ascii="Arial" w:hAnsi="Arial" w:cs="Arial"/>
          <w:sz w:val="14"/>
        </w:rPr>
      </w:pPr>
      <w:r w:rsidRPr="00BC097E">
        <w:rPr>
          <w:rFonts w:ascii="Arial" w:hAnsi="Arial" w:cs="Arial"/>
          <w:sz w:val="14"/>
        </w:rPr>
        <w:t>Email:</w:t>
      </w:r>
      <w:r w:rsidR="004B52DC" w:rsidRPr="00BC097E">
        <w:rPr>
          <w:rFonts w:ascii="Arial" w:hAnsi="Arial" w:cs="Arial"/>
          <w:sz w:val="14"/>
        </w:rPr>
        <w:t xml:space="preserve"> </w:t>
      </w:r>
      <w:hyperlink r:id="rId10" w:history="1">
        <w:r w:rsidR="004B52DC" w:rsidRPr="00BC097E">
          <w:rPr>
            <w:rStyle w:val="Hyperlink"/>
            <w:rFonts w:ascii="Arial" w:hAnsi="Arial" w:cs="Arial"/>
            <w:sz w:val="14"/>
          </w:rPr>
          <w:t>maximilian.gabriel@medunigraz.at</w:t>
        </w:r>
      </w:hyperlink>
    </w:p>
    <w:p w14:paraId="12690ECE" w14:textId="77777777" w:rsidR="00AE3E37" w:rsidRPr="00BC097E" w:rsidRDefault="00292ED9">
      <w:pPr>
        <w:pStyle w:val="BodyText"/>
        <w:spacing w:before="2"/>
        <w:rPr>
          <w:rFonts w:ascii="Arial" w:hAnsi="Arial" w:cs="Arial"/>
          <w:sz w:val="19"/>
        </w:rPr>
      </w:pPr>
      <w:r w:rsidRPr="00BC097E">
        <w:rPr>
          <w:rFonts w:ascii="Arial" w:hAnsi="Arial" w:cs="Arial"/>
          <w:noProof/>
          <w:lang w:val="en-IN" w:eastAsia="en-IN"/>
        </w:rPr>
        <mc:AlternateContent>
          <mc:Choice Requires="wps">
            <w:drawing>
              <wp:anchor distT="0" distB="0" distL="0" distR="0" simplePos="0" relativeHeight="1072" behindDoc="0" locked="0" layoutInCell="1" allowOverlap="1" wp14:anchorId="29432CA5" wp14:editId="11147CA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369B832" w14:textId="77777777" w:rsidR="00AE3E37" w:rsidRPr="00BC097E" w:rsidRDefault="00AE3E37">
      <w:pPr>
        <w:pStyle w:val="BodyText"/>
        <w:rPr>
          <w:rFonts w:ascii="Arial" w:hAnsi="Arial" w:cs="Arial"/>
          <w:sz w:val="20"/>
        </w:rPr>
      </w:pPr>
    </w:p>
    <w:p w14:paraId="69CC3B51" w14:textId="77777777" w:rsidR="00AE3E37" w:rsidRPr="00BC097E" w:rsidRDefault="00AE3E37">
      <w:pPr>
        <w:pStyle w:val="BodyText"/>
        <w:rPr>
          <w:rFonts w:ascii="Arial" w:hAnsi="Arial" w:cs="Arial"/>
          <w:sz w:val="20"/>
        </w:rPr>
      </w:pPr>
    </w:p>
    <w:p w14:paraId="5B0C7481" w14:textId="77777777" w:rsidR="00AE3E37" w:rsidRPr="00BC097E" w:rsidRDefault="00AE3E37">
      <w:pPr>
        <w:pStyle w:val="BodyText"/>
        <w:spacing w:before="7"/>
        <w:rPr>
          <w:rFonts w:ascii="Arial" w:hAnsi="Arial" w:cs="Arial"/>
          <w:sz w:val="29"/>
        </w:rPr>
      </w:pPr>
    </w:p>
    <w:p w14:paraId="07DE7027" w14:textId="77777777" w:rsidR="00AE3E37" w:rsidRPr="00BC097E" w:rsidRDefault="00A9710C">
      <w:pPr>
        <w:spacing w:before="39"/>
        <w:ind w:left="100"/>
        <w:rPr>
          <w:rFonts w:ascii="Arial" w:hAnsi="Arial" w:cs="Arial"/>
          <w:b/>
          <w:sz w:val="20"/>
        </w:rPr>
      </w:pPr>
      <w:r w:rsidRPr="00BC097E">
        <w:rPr>
          <w:rFonts w:ascii="Arial" w:hAnsi="Arial" w:cs="Arial"/>
          <w:b/>
          <w:sz w:val="20"/>
        </w:rPr>
        <w:t>Notes/Comments:</w:t>
      </w:r>
    </w:p>
    <w:p w14:paraId="7B81423C" w14:textId="77777777" w:rsidR="00AE3E37" w:rsidRPr="00BC097E" w:rsidRDefault="00AE3E37">
      <w:pPr>
        <w:rPr>
          <w:rFonts w:ascii="Arial" w:hAnsi="Arial" w:cs="Arial"/>
          <w:sz w:val="24"/>
        </w:rPr>
        <w:sectPr w:rsidR="00AE3E37" w:rsidRPr="00BC097E" w:rsidSect="008E5477">
          <w:type w:val="continuous"/>
          <w:pgSz w:w="11910" w:h="16840"/>
          <w:pgMar w:top="995" w:right="600" w:bottom="840" w:left="620" w:header="720" w:footer="720" w:gutter="0"/>
          <w:cols w:space="720"/>
        </w:sectPr>
      </w:pPr>
    </w:p>
    <w:p w14:paraId="28D6EF3C" w14:textId="77777777" w:rsidR="00F046EA" w:rsidRPr="00BC097E" w:rsidRDefault="00F046EA" w:rsidP="00F046EA">
      <w:pPr>
        <w:jc w:val="both"/>
        <w:rPr>
          <w:rFonts w:ascii="Arial" w:hAnsi="Arial" w:cs="Arial"/>
          <w:b/>
        </w:rPr>
      </w:pPr>
      <w:r w:rsidRPr="00BC097E">
        <w:rPr>
          <w:rFonts w:ascii="Arial" w:hAnsi="Arial" w:cs="Arial"/>
          <w:b/>
        </w:rPr>
        <w:lastRenderedPageBreak/>
        <w:t xml:space="preserve">Presenting author details </w:t>
      </w:r>
    </w:p>
    <w:p w14:paraId="58A498F4" w14:textId="0A40E5BA" w:rsidR="00F046EA" w:rsidRPr="00BC097E" w:rsidRDefault="00F046EA" w:rsidP="00F046EA">
      <w:pPr>
        <w:jc w:val="both"/>
        <w:rPr>
          <w:rFonts w:ascii="Arial" w:hAnsi="Arial" w:cs="Arial"/>
        </w:rPr>
      </w:pPr>
      <w:r w:rsidRPr="00BC097E">
        <w:rPr>
          <w:rFonts w:ascii="Arial" w:hAnsi="Arial" w:cs="Arial"/>
        </w:rPr>
        <w:t xml:space="preserve">Full name: </w:t>
      </w:r>
      <w:r w:rsidR="00AC6C4F" w:rsidRPr="00BC097E">
        <w:rPr>
          <w:rFonts w:ascii="Arial" w:hAnsi="Arial" w:cs="Arial"/>
        </w:rPr>
        <w:t>Maximilian Gabriel</w:t>
      </w:r>
    </w:p>
    <w:p w14:paraId="3D8C9F68" w14:textId="032DD1B4" w:rsidR="00F046EA" w:rsidRPr="00BC097E" w:rsidRDefault="00F046EA" w:rsidP="00F046EA">
      <w:pPr>
        <w:jc w:val="both"/>
        <w:rPr>
          <w:rFonts w:ascii="Arial" w:hAnsi="Arial" w:cs="Arial"/>
        </w:rPr>
      </w:pPr>
      <w:r w:rsidRPr="00BC097E">
        <w:rPr>
          <w:rFonts w:ascii="Arial" w:hAnsi="Arial" w:cs="Arial"/>
        </w:rPr>
        <w:t>Contact number:</w:t>
      </w:r>
      <w:r w:rsidR="00AC6C4F" w:rsidRPr="00BC097E">
        <w:rPr>
          <w:rFonts w:ascii="Arial" w:hAnsi="Arial" w:cs="Arial"/>
        </w:rPr>
        <w:t xml:space="preserve"> +4369910813732</w:t>
      </w:r>
    </w:p>
    <w:p w14:paraId="56CC3FA8" w14:textId="19160952" w:rsidR="00F046EA" w:rsidRPr="00BC097E" w:rsidRDefault="00F046EA" w:rsidP="00F046EA">
      <w:pPr>
        <w:jc w:val="both"/>
        <w:rPr>
          <w:rFonts w:ascii="Arial" w:hAnsi="Arial" w:cs="Arial"/>
        </w:rPr>
      </w:pPr>
      <w:r w:rsidRPr="00BC097E">
        <w:rPr>
          <w:rFonts w:ascii="Arial" w:hAnsi="Arial" w:cs="Arial"/>
        </w:rPr>
        <w:t xml:space="preserve">Mail id: </w:t>
      </w:r>
      <w:r w:rsidR="00AC6C4F" w:rsidRPr="00BC097E">
        <w:rPr>
          <w:rFonts w:ascii="Arial" w:hAnsi="Arial" w:cs="Arial"/>
        </w:rPr>
        <w:t>maximilian.gabriel@medunigraz.at</w:t>
      </w:r>
    </w:p>
    <w:p w14:paraId="74B2F8EE" w14:textId="6528E3E4" w:rsidR="00F046EA" w:rsidRPr="00BC097E" w:rsidRDefault="00F046EA" w:rsidP="00F046EA">
      <w:pPr>
        <w:jc w:val="both"/>
        <w:rPr>
          <w:rFonts w:ascii="Arial" w:hAnsi="Arial" w:cs="Arial"/>
        </w:rPr>
      </w:pPr>
      <w:r w:rsidRPr="00BC097E">
        <w:rPr>
          <w:rFonts w:ascii="Arial" w:hAnsi="Arial" w:cs="Arial"/>
        </w:rPr>
        <w:t xml:space="preserve">Category: (Oral presentation/ Poster presentation) </w:t>
      </w:r>
      <w:r w:rsidR="00AC6C4F" w:rsidRPr="00BC097E">
        <w:rPr>
          <w:rFonts w:ascii="Arial" w:hAnsi="Arial" w:cs="Arial"/>
        </w:rPr>
        <w:t>E-Poster</w:t>
      </w:r>
    </w:p>
    <w:p w14:paraId="1104A7B1" w14:textId="77777777" w:rsidR="00AE3E37" w:rsidRPr="00BC097E" w:rsidRDefault="00AE3E37">
      <w:pPr>
        <w:pStyle w:val="BodyText"/>
        <w:spacing w:before="3"/>
        <w:rPr>
          <w:rFonts w:ascii="Arial" w:hAnsi="Arial" w:cs="Arial"/>
          <w:sz w:val="26"/>
        </w:rPr>
      </w:pPr>
    </w:p>
    <w:sectPr w:rsidR="00AE3E37" w:rsidRPr="00BC097E"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2E9C46" w14:textId="77777777" w:rsidR="00011CE0" w:rsidRDefault="00011CE0">
      <w:r>
        <w:separator/>
      </w:r>
    </w:p>
  </w:endnote>
  <w:endnote w:type="continuationSeparator" w:id="0">
    <w:p w14:paraId="2CAEAB65" w14:textId="77777777" w:rsidR="00011CE0" w:rsidRDefault="00011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96300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E2408AD" wp14:editId="376D9C2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AAF5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D85137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2408AD"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51DAAF5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D85137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30D678F" wp14:editId="344A7A1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64CD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7DBFF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0D678F"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4BC64CD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7DBFF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839C2F5" wp14:editId="4AF9073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3152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3EAD5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39C2F5"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00B3152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3EAD5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6682EF" w14:textId="77777777" w:rsidR="00011CE0" w:rsidRDefault="00011CE0">
      <w:r>
        <w:separator/>
      </w:r>
    </w:p>
  </w:footnote>
  <w:footnote w:type="continuationSeparator" w:id="0">
    <w:p w14:paraId="7F93D0BD" w14:textId="77777777" w:rsidR="00011CE0" w:rsidRDefault="00011C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1CE0"/>
    <w:rsid w:val="000E2911"/>
    <w:rsid w:val="001263DF"/>
    <w:rsid w:val="00224D2A"/>
    <w:rsid w:val="00292ED9"/>
    <w:rsid w:val="00351D9B"/>
    <w:rsid w:val="00380299"/>
    <w:rsid w:val="00404E5B"/>
    <w:rsid w:val="00414F7B"/>
    <w:rsid w:val="004327E8"/>
    <w:rsid w:val="004355DC"/>
    <w:rsid w:val="00447AD7"/>
    <w:rsid w:val="004749B4"/>
    <w:rsid w:val="00494130"/>
    <w:rsid w:val="004B52DC"/>
    <w:rsid w:val="004F3523"/>
    <w:rsid w:val="005973B9"/>
    <w:rsid w:val="005B3A56"/>
    <w:rsid w:val="006060CE"/>
    <w:rsid w:val="0061505C"/>
    <w:rsid w:val="00624A80"/>
    <w:rsid w:val="0063497F"/>
    <w:rsid w:val="00714354"/>
    <w:rsid w:val="00724420"/>
    <w:rsid w:val="007D04C7"/>
    <w:rsid w:val="00873DF0"/>
    <w:rsid w:val="008756E6"/>
    <w:rsid w:val="00896F82"/>
    <w:rsid w:val="00897EC5"/>
    <w:rsid w:val="008A4E12"/>
    <w:rsid w:val="008E5477"/>
    <w:rsid w:val="009B2D44"/>
    <w:rsid w:val="00A07E82"/>
    <w:rsid w:val="00A52075"/>
    <w:rsid w:val="00A9710C"/>
    <w:rsid w:val="00AC6C4F"/>
    <w:rsid w:val="00AE3E37"/>
    <w:rsid w:val="00B21A57"/>
    <w:rsid w:val="00BC097E"/>
    <w:rsid w:val="00C33602"/>
    <w:rsid w:val="00C56C74"/>
    <w:rsid w:val="00CD6F55"/>
    <w:rsid w:val="00CF72F5"/>
    <w:rsid w:val="00D44953"/>
    <w:rsid w:val="00DE3104"/>
    <w:rsid w:val="00DE6170"/>
    <w:rsid w:val="00E06181"/>
    <w:rsid w:val="00E30AAC"/>
    <w:rsid w:val="00E95D97"/>
    <w:rsid w:val="00F046EA"/>
    <w:rsid w:val="00F72EEA"/>
    <w:rsid w:val="00F84CAE"/>
    <w:rsid w:val="00FA41DE"/>
    <w:rsid w:val="00FD76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AE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4B52DC"/>
    <w:rPr>
      <w:color w:val="800080" w:themeColor="followedHyperlink"/>
      <w:u w:val="single"/>
    </w:rPr>
  </w:style>
  <w:style w:type="character" w:customStyle="1" w:styleId="UnresolvedMention">
    <w:name w:val="Unresolved Mention"/>
    <w:basedOn w:val="DefaultParagraphFont"/>
    <w:uiPriority w:val="99"/>
    <w:semiHidden/>
    <w:unhideWhenUsed/>
    <w:rsid w:val="004B52DC"/>
    <w:rPr>
      <w:color w:val="605E5C"/>
      <w:shd w:val="clear" w:color="auto" w:fill="E1DFDD"/>
    </w:rPr>
  </w:style>
  <w:style w:type="paragraph" w:customStyle="1" w:styleId="EndNoteBibliography">
    <w:name w:val="EndNote Bibliography"/>
    <w:basedOn w:val="Normal"/>
    <w:rsid w:val="00224D2A"/>
    <w:pPr>
      <w:widowControl/>
    </w:pPr>
    <w:rPr>
      <w:rFonts w:ascii="Cambria" w:eastAsiaTheme="minorHAnsi" w:hAnsi="Cambria" w:cstheme="minorBid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4B52DC"/>
    <w:rPr>
      <w:color w:val="800080" w:themeColor="followedHyperlink"/>
      <w:u w:val="single"/>
    </w:rPr>
  </w:style>
  <w:style w:type="character" w:customStyle="1" w:styleId="UnresolvedMention">
    <w:name w:val="Unresolved Mention"/>
    <w:basedOn w:val="DefaultParagraphFont"/>
    <w:uiPriority w:val="99"/>
    <w:semiHidden/>
    <w:unhideWhenUsed/>
    <w:rsid w:val="004B52DC"/>
    <w:rPr>
      <w:color w:val="605E5C"/>
      <w:shd w:val="clear" w:color="auto" w:fill="E1DFDD"/>
    </w:rPr>
  </w:style>
  <w:style w:type="paragraph" w:customStyle="1" w:styleId="EndNoteBibliography">
    <w:name w:val="EndNote Bibliography"/>
    <w:basedOn w:val="Normal"/>
    <w:rsid w:val="00224D2A"/>
    <w:pPr>
      <w:widowControl/>
    </w:pPr>
    <w:rPr>
      <w:rFonts w:ascii="Cambria" w:eastAsiaTheme="minorHAnsi" w:hAnsi="Cambria"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9140105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ximilian.gabriel@medunigraz.at"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Pediatrics 2021</cp:lastModifiedBy>
  <cp:revision>2</cp:revision>
  <dcterms:created xsi:type="dcterms:W3CDTF">2023-02-13T05:44:00Z</dcterms:created>
  <dcterms:modified xsi:type="dcterms:W3CDTF">2023-02-13T05:44:00Z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