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F63" w:rsidRDefault="00E036C1" w:rsidP="00E036C1">
      <w:pPr>
        <w:pStyle w:val="BodyText"/>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 xml:space="preserve">Financial, Occupational and Physical Challenges and </w:t>
      </w:r>
      <w:r w:rsidR="00042F63" w:rsidRPr="00042F63">
        <w:rPr>
          <w:rFonts w:ascii="Times New Roman" w:eastAsia="Minion Pro" w:hAnsi="Times New Roman" w:cs="Times New Roman"/>
          <w:b/>
          <w:bCs/>
          <w:color w:val="337AB7"/>
          <w:sz w:val="32"/>
          <w:szCs w:val="24"/>
        </w:rPr>
        <w:t xml:space="preserve">Blood Glucose Monitoring in Type </w:t>
      </w:r>
      <w:proofErr w:type="gramStart"/>
      <w:r w:rsidR="00042F63" w:rsidRPr="00042F63">
        <w:rPr>
          <w:rFonts w:ascii="Times New Roman" w:eastAsia="Minion Pro" w:hAnsi="Times New Roman" w:cs="Times New Roman"/>
          <w:b/>
          <w:bCs/>
          <w:color w:val="337AB7"/>
          <w:sz w:val="32"/>
          <w:szCs w:val="24"/>
        </w:rPr>
        <w:t>2 Diabetes</w:t>
      </w:r>
      <w:proofErr w:type="gramEnd"/>
    </w:p>
    <w:p w:rsidR="00E036C1" w:rsidRDefault="00E036C1" w:rsidP="00E036C1">
      <w:pPr>
        <w:pStyle w:val="BodyText"/>
        <w:rPr>
          <w:rFonts w:ascii="Times New Roman" w:eastAsia="Minion Pro" w:hAnsi="Times New Roman" w:cs="Times New Roman"/>
          <w:b/>
          <w:bCs/>
          <w:color w:val="337AB7"/>
          <w:sz w:val="32"/>
          <w:szCs w:val="24"/>
        </w:rPr>
      </w:pPr>
    </w:p>
    <w:p w:rsidR="00562A44" w:rsidRDefault="00042F63" w:rsidP="00042F63">
      <w:pPr>
        <w:pStyle w:val="BodyText"/>
        <w:spacing w:after="200" w:line="276" w:lineRule="auto"/>
        <w:rPr>
          <w:rFonts w:ascii="Times New Roman" w:hAnsi="Times New Roman" w:cs="Times New Roman"/>
          <w:sz w:val="24"/>
          <w:szCs w:val="24"/>
        </w:rPr>
      </w:pPr>
      <w:bookmarkStart w:id="0" w:name="_GoBack"/>
      <w:r w:rsidRPr="00042F63">
        <w:rPr>
          <w:rFonts w:ascii="Times New Roman" w:hAnsi="Times New Roman" w:cs="Times New Roman"/>
          <w:sz w:val="24"/>
          <w:szCs w:val="24"/>
        </w:rPr>
        <w:t>Jacob Marvin</w:t>
      </w:r>
      <w:bookmarkEnd w:id="0"/>
      <w:r w:rsidR="00562A44">
        <w:rPr>
          <w:rFonts w:ascii="Times New Roman" w:hAnsi="Times New Roman" w:cs="Times New Roman"/>
          <w:sz w:val="24"/>
          <w:szCs w:val="24"/>
        </w:rPr>
        <w:t>*</w:t>
      </w:r>
    </w:p>
    <w:p w:rsidR="00562A44" w:rsidRDefault="00042F63" w:rsidP="00562A44">
      <w:pPr>
        <w:pStyle w:val="Heading3"/>
        <w:spacing w:before="0" w:after="200"/>
        <w:rPr>
          <w:rFonts w:ascii="Times New Roman" w:eastAsia="Tw Cen MT" w:hAnsi="Times New Roman" w:cs="Times New Roman"/>
          <w:b w:val="0"/>
          <w:bCs w:val="0"/>
          <w:color w:val="auto"/>
          <w:szCs w:val="24"/>
          <w:lang w:val="en-US"/>
        </w:rPr>
      </w:pPr>
      <w:r w:rsidRPr="00042F63">
        <w:rPr>
          <w:rFonts w:ascii="Times New Roman" w:eastAsia="Tw Cen MT" w:hAnsi="Times New Roman" w:cs="Times New Roman"/>
          <w:b w:val="0"/>
          <w:bCs w:val="0"/>
          <w:color w:val="auto"/>
          <w:szCs w:val="24"/>
          <w:lang w:val="en-US"/>
        </w:rPr>
        <w:t>Ohio Northern University</w:t>
      </w:r>
      <w:r w:rsidR="00562A44" w:rsidRPr="00562A44">
        <w:rPr>
          <w:rFonts w:ascii="Times New Roman" w:eastAsia="Tw Cen MT" w:hAnsi="Times New Roman" w:cs="Times New Roman"/>
          <w:b w:val="0"/>
          <w:bCs w:val="0"/>
          <w:color w:val="auto"/>
          <w:szCs w:val="24"/>
          <w:lang w:val="en-US"/>
        </w:rPr>
        <w:t xml:space="preserve">, </w:t>
      </w:r>
      <w:r>
        <w:rPr>
          <w:rFonts w:ascii="Times New Roman" w:eastAsia="Tw Cen MT" w:hAnsi="Times New Roman" w:cs="Times New Roman"/>
          <w:b w:val="0"/>
          <w:bCs w:val="0"/>
          <w:color w:val="auto"/>
          <w:szCs w:val="24"/>
          <w:lang w:val="en-US"/>
        </w:rPr>
        <w:t>USA</w:t>
      </w:r>
      <w:r w:rsidR="00562A44" w:rsidRPr="00562A44">
        <w:rPr>
          <w:rFonts w:ascii="Times New Roman" w:eastAsia="Tw Cen MT" w:hAnsi="Times New Roman" w:cs="Times New Roman"/>
          <w:b w:val="0"/>
          <w:bCs w:val="0"/>
          <w:color w:val="auto"/>
          <w:szCs w:val="24"/>
          <w:lang w:val="en-US"/>
        </w:rPr>
        <w:t xml:space="preserve"> </w:t>
      </w:r>
    </w:p>
    <w:p w:rsidR="00691AAB" w:rsidRPr="00E04DFF" w:rsidRDefault="00562A44"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042F63" w:rsidRPr="00042F63" w:rsidRDefault="00042F63" w:rsidP="00042F63">
      <w:pPr>
        <w:pStyle w:val="BodyText"/>
        <w:jc w:val="both"/>
        <w:rPr>
          <w:rFonts w:ascii="Times New Roman" w:hAnsi="Times New Roman" w:cs="Times New Roman"/>
          <w:sz w:val="20"/>
          <w:szCs w:val="24"/>
        </w:rPr>
      </w:pPr>
      <w:r w:rsidRPr="00042F63">
        <w:rPr>
          <w:rFonts w:ascii="Times New Roman" w:hAnsi="Times New Roman" w:cs="Times New Roman"/>
          <w:sz w:val="20"/>
          <w:szCs w:val="24"/>
        </w:rPr>
        <w:t>Blood glucose monitoring effects are changing for people living with type 2 diabetes. However, there is a lack of recent data surrounding financial, occupational, or physical stressors that affect the adherence of diabetes self-management practices. This article looks to examine specific financial, physical, and occupational challenges in adherence to blood glucose monitoring in type 2 diabetes.</w:t>
      </w:r>
    </w:p>
    <w:p w:rsidR="00042F63" w:rsidRPr="00042F63" w:rsidRDefault="00042F63" w:rsidP="00042F63">
      <w:pPr>
        <w:pStyle w:val="BodyText"/>
        <w:jc w:val="both"/>
        <w:rPr>
          <w:rFonts w:ascii="Times New Roman" w:hAnsi="Times New Roman" w:cs="Times New Roman"/>
          <w:sz w:val="20"/>
          <w:szCs w:val="24"/>
        </w:rPr>
      </w:pPr>
      <w:r w:rsidRPr="00042F63">
        <w:rPr>
          <w:rFonts w:ascii="Times New Roman" w:hAnsi="Times New Roman" w:cs="Times New Roman"/>
          <w:sz w:val="20"/>
          <w:szCs w:val="24"/>
        </w:rPr>
        <w:t>Data from the National Health and Nutrition Examination Survey (NHANES) 2017–2020 Pre-Pandemic data of adults 18+ were analyzed. These data were used to examine the relationships between insurance coverage, health status, occupation, and self-monitoring of blood glucose levels in the United States.</w:t>
      </w:r>
    </w:p>
    <w:p w:rsidR="00691AAB" w:rsidRPr="00E04DFF" w:rsidRDefault="00042F63" w:rsidP="00042F63">
      <w:pPr>
        <w:pStyle w:val="BodyText"/>
        <w:spacing w:after="200" w:line="276" w:lineRule="auto"/>
        <w:jc w:val="both"/>
        <w:rPr>
          <w:rFonts w:ascii="Times New Roman" w:hAnsi="Times New Roman" w:cs="Times New Roman"/>
          <w:sz w:val="24"/>
          <w:szCs w:val="24"/>
        </w:rPr>
      </w:pPr>
      <w:r w:rsidRPr="00042F63">
        <w:rPr>
          <w:rFonts w:ascii="Times New Roman" w:hAnsi="Times New Roman" w:cs="Times New Roman"/>
          <w:sz w:val="20"/>
          <w:szCs w:val="24"/>
        </w:rPr>
        <w:t>This study found that respondents had a statistically significant association with five variables: prescription drug coverage (in-part or full), occupation status, gender, age, and three race subcategories (non-Hispanic White, Black, and Other-Multiracial) with blood glucose monitoring.</w:t>
      </w:r>
    </w:p>
    <w:p w:rsidR="00691AAB" w:rsidRDefault="00562A44" w:rsidP="00042F63">
      <w:pPr>
        <w:pStyle w:val="BodyText"/>
        <w:spacing w:after="200" w:line="276" w:lineRule="auto"/>
        <w:jc w:val="both"/>
        <w:rPr>
          <w:rFonts w:ascii="Times New Roman" w:hAnsi="Times New Roman" w:cs="Times New Roman"/>
          <w:sz w:val="20"/>
          <w:szCs w:val="24"/>
        </w:rPr>
      </w:pPr>
      <w:r w:rsidRPr="00562A44">
        <w:rPr>
          <w:rFonts w:ascii="Times New Roman" w:hAnsi="Times New Roman" w:cs="Times New Roman"/>
          <w:sz w:val="20"/>
          <w:szCs w:val="24"/>
        </w:rPr>
        <w:t xml:space="preserve">No </w:t>
      </w:r>
      <w:proofErr w:type="spellStart"/>
      <w:r w:rsidRPr="00562A44">
        <w:rPr>
          <w:rFonts w:ascii="Times New Roman" w:hAnsi="Times New Roman" w:cs="Times New Roman"/>
          <w:sz w:val="20"/>
          <w:szCs w:val="24"/>
        </w:rPr>
        <w:t>Randomised</w:t>
      </w:r>
      <w:proofErr w:type="spellEnd"/>
      <w:r w:rsidRPr="00562A44">
        <w:rPr>
          <w:rFonts w:ascii="Times New Roman" w:hAnsi="Times New Roman" w:cs="Times New Roman"/>
          <w:sz w:val="20"/>
          <w:szCs w:val="24"/>
        </w:rPr>
        <w:t xml:space="preserve"> controlled trials (RCTs) were found. A total of 19 observational studies were included in the review. All-cause mortality was 27% lower in the statin exposed population compared to the unexposed population (Hazard Ratio 0.73, 95% CI: 0.68–0.79). Heterogeneity between studies was low (38%). The information obtained was inadequate to detect a reduction in </w:t>
      </w:r>
      <w:proofErr w:type="spellStart"/>
      <w:r w:rsidRPr="00562A44">
        <w:rPr>
          <w:rFonts w:ascii="Times New Roman" w:hAnsi="Times New Roman" w:cs="Times New Roman"/>
          <w:sz w:val="20"/>
          <w:szCs w:val="24"/>
        </w:rPr>
        <w:t>hospitalisation</w:t>
      </w:r>
      <w:proofErr w:type="spellEnd"/>
      <w:r w:rsidRPr="00562A44">
        <w:rPr>
          <w:rFonts w:ascii="Times New Roman" w:hAnsi="Times New Roman" w:cs="Times New Roman"/>
          <w:sz w:val="20"/>
          <w:szCs w:val="24"/>
        </w:rPr>
        <w:t xml:space="preserve"> on statin therapy, to examine dose -response effects or to compare lipophilic and </w:t>
      </w:r>
      <w:proofErr w:type="spellStart"/>
      <w:r w:rsidRPr="00562A44">
        <w:rPr>
          <w:rFonts w:ascii="Times New Roman" w:hAnsi="Times New Roman" w:cs="Times New Roman"/>
          <w:sz w:val="20"/>
          <w:szCs w:val="24"/>
        </w:rPr>
        <w:t>lipophobic</w:t>
      </w:r>
      <w:proofErr w:type="spellEnd"/>
      <w:r w:rsidRPr="00562A44">
        <w:rPr>
          <w:rFonts w:ascii="Times New Roman" w:hAnsi="Times New Roman" w:cs="Times New Roman"/>
          <w:sz w:val="20"/>
          <w:szCs w:val="24"/>
        </w:rPr>
        <w:t xml:space="preserve"> statins</w:t>
      </w:r>
      <w:r w:rsidR="00691AAB" w:rsidRPr="00E04DFF">
        <w:rPr>
          <w:rFonts w:ascii="Times New Roman" w:hAnsi="Times New Roman" w:cs="Times New Roman"/>
          <w:sz w:val="20"/>
          <w:szCs w:val="24"/>
        </w:rPr>
        <w:t>.</w:t>
      </w:r>
    </w:p>
    <w:p w:rsidR="00042F63" w:rsidRPr="00042F63" w:rsidRDefault="00042F63" w:rsidP="00042F63">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Conclusion</w:t>
      </w:r>
      <w:r w:rsidRPr="00042F63">
        <w:rPr>
          <w:rFonts w:ascii="Times New Roman" w:hAnsi="Times New Roman" w:cs="Times New Roman"/>
          <w:b/>
          <w:sz w:val="20"/>
          <w:szCs w:val="24"/>
        </w:rPr>
        <w:t xml:space="preserve">: </w:t>
      </w:r>
      <w:r w:rsidRPr="00042F63">
        <w:rPr>
          <w:rFonts w:ascii="Times New Roman" w:hAnsi="Times New Roman" w:cs="Times New Roman"/>
          <w:sz w:val="20"/>
          <w:szCs w:val="24"/>
        </w:rPr>
        <w:t>This study may help certified health education specialists (CHES) and diabetes care and educator specialists (DCES) to better identify which groups of individuals are at highest risk for poor adherence to specific blood glucose monitoring in type 2 diabetes</w:t>
      </w:r>
      <w:r>
        <w:rPr>
          <w:rFonts w:ascii="Times New Roman" w:hAnsi="Times New Roman" w:cs="Times New Roman"/>
          <w:b/>
          <w:sz w:val="20"/>
          <w:szCs w:val="24"/>
        </w:rPr>
        <w:t>.</w:t>
      </w:r>
    </w:p>
    <w:p w:rsidR="00562A44" w:rsidRDefault="00691AAB" w:rsidP="00562A44">
      <w:pPr>
        <w:rPr>
          <w:rFonts w:ascii="Times New Roman" w:hAnsi="Times New Roman" w:cs="Times New Roman"/>
          <w:b/>
          <w:sz w:val="24"/>
          <w:szCs w:val="24"/>
        </w:rPr>
      </w:pPr>
      <w:r w:rsidRPr="00E04DFF">
        <w:rPr>
          <w:rFonts w:ascii="Times New Roman" w:hAnsi="Times New Roman" w:cs="Times New Roman"/>
          <w:b/>
          <w:sz w:val="24"/>
          <w:szCs w:val="24"/>
        </w:rPr>
        <w:t>Reference</w:t>
      </w:r>
    </w:p>
    <w:p w:rsidR="00042F63" w:rsidRPr="00042F63" w:rsidRDefault="00042F63" w:rsidP="00042F63">
      <w:pPr>
        <w:pStyle w:val="ListParagraph"/>
        <w:numPr>
          <w:ilvl w:val="0"/>
          <w:numId w:val="3"/>
        </w:numPr>
        <w:rPr>
          <w:rFonts w:ascii="Times New Roman" w:hAnsi="Times New Roman" w:cs="Times New Roman"/>
          <w:sz w:val="20"/>
          <w:szCs w:val="24"/>
        </w:rPr>
      </w:pPr>
      <w:r w:rsidRPr="00042F63">
        <w:rPr>
          <w:rFonts w:ascii="Times New Roman" w:hAnsi="Times New Roman" w:cs="Times New Roman"/>
          <w:sz w:val="20"/>
          <w:szCs w:val="24"/>
        </w:rPr>
        <w:t xml:space="preserve">Marvin J, </w:t>
      </w:r>
      <w:proofErr w:type="spellStart"/>
      <w:r w:rsidRPr="00042F63">
        <w:rPr>
          <w:rFonts w:ascii="Times New Roman" w:hAnsi="Times New Roman" w:cs="Times New Roman"/>
          <w:sz w:val="20"/>
          <w:szCs w:val="24"/>
        </w:rPr>
        <w:t>Powe</w:t>
      </w:r>
      <w:proofErr w:type="spellEnd"/>
      <w:r w:rsidRPr="00042F63">
        <w:rPr>
          <w:rFonts w:ascii="Times New Roman" w:hAnsi="Times New Roman" w:cs="Times New Roman"/>
          <w:sz w:val="20"/>
          <w:szCs w:val="24"/>
        </w:rPr>
        <w:t xml:space="preserve"> N. Financial, Occupational and Physical Challenges and Blood </w:t>
      </w:r>
      <w:proofErr w:type="gramStart"/>
      <w:r w:rsidRPr="00042F63">
        <w:rPr>
          <w:rFonts w:ascii="Times New Roman" w:hAnsi="Times New Roman" w:cs="Times New Roman"/>
          <w:sz w:val="20"/>
          <w:szCs w:val="24"/>
        </w:rPr>
        <w:t>Glucose  Monitoring</w:t>
      </w:r>
      <w:proofErr w:type="gramEnd"/>
      <w:r w:rsidRPr="00042F63">
        <w:rPr>
          <w:rFonts w:ascii="Times New Roman" w:hAnsi="Times New Roman" w:cs="Times New Roman"/>
          <w:sz w:val="20"/>
          <w:szCs w:val="24"/>
        </w:rPr>
        <w:t xml:space="preserve"> in Type 2 Diabetes. Health Services Research and Managerial Epidemiology. 2023</w:t>
      </w:r>
      <w:proofErr w:type="gramStart"/>
      <w:r w:rsidRPr="00042F63">
        <w:rPr>
          <w:rFonts w:ascii="Times New Roman" w:hAnsi="Times New Roman" w:cs="Times New Roman"/>
          <w:sz w:val="20"/>
          <w:szCs w:val="24"/>
        </w:rPr>
        <w:t>;10</w:t>
      </w:r>
      <w:proofErr w:type="gramEnd"/>
      <w:r w:rsidRPr="00042F63">
        <w:rPr>
          <w:rFonts w:ascii="Times New Roman" w:hAnsi="Times New Roman" w:cs="Times New Roman"/>
          <w:sz w:val="20"/>
          <w:szCs w:val="24"/>
        </w:rPr>
        <w:t>. doi:10.1177/23333928231154345</w:t>
      </w:r>
    </w:p>
    <w:p w:rsidR="00042F63" w:rsidRDefault="00042F63" w:rsidP="00042F63">
      <w:pPr>
        <w:pStyle w:val="ListParagraph"/>
        <w:ind w:left="720" w:firstLine="0"/>
        <w:rPr>
          <w:rFonts w:ascii="Times New Roman" w:hAnsi="Times New Roman" w:cs="Times New Roman"/>
          <w:sz w:val="20"/>
          <w:szCs w:val="24"/>
        </w:rPr>
      </w:pPr>
    </w:p>
    <w:p w:rsidR="00562A44" w:rsidRDefault="00042F63" w:rsidP="00562A44">
      <w:pPr>
        <w:pStyle w:val="ListParagraph"/>
        <w:numPr>
          <w:ilvl w:val="0"/>
          <w:numId w:val="3"/>
        </w:numPr>
        <w:rPr>
          <w:rFonts w:ascii="Times New Roman" w:hAnsi="Times New Roman" w:cs="Times New Roman"/>
          <w:sz w:val="20"/>
          <w:szCs w:val="24"/>
        </w:rPr>
      </w:pPr>
      <w:r w:rsidRPr="00042F63">
        <w:rPr>
          <w:rFonts w:ascii="Times New Roman" w:hAnsi="Times New Roman" w:cs="Times New Roman"/>
          <w:sz w:val="20"/>
          <w:szCs w:val="24"/>
        </w:rPr>
        <w:t xml:space="preserve">Marvin, J. (2022). How do </w:t>
      </w:r>
      <w:proofErr w:type="spellStart"/>
      <w:r w:rsidRPr="00042F63">
        <w:rPr>
          <w:rFonts w:ascii="Times New Roman" w:hAnsi="Times New Roman" w:cs="Times New Roman"/>
          <w:sz w:val="20"/>
          <w:szCs w:val="24"/>
        </w:rPr>
        <w:t>sociodemographics</w:t>
      </w:r>
      <w:proofErr w:type="spellEnd"/>
      <w:r w:rsidRPr="00042F63">
        <w:rPr>
          <w:rFonts w:ascii="Times New Roman" w:hAnsi="Times New Roman" w:cs="Times New Roman"/>
          <w:sz w:val="20"/>
          <w:szCs w:val="24"/>
        </w:rPr>
        <w:t>, perceived barriers, and physical challenges affect blood glucose monitoring among people with type 2 diabetes</w:t>
      </w:r>
      <w:proofErr w:type="gramStart"/>
      <w:r w:rsidRPr="00042F63">
        <w:rPr>
          <w:rFonts w:ascii="Times New Roman" w:hAnsi="Times New Roman" w:cs="Times New Roman"/>
          <w:sz w:val="20"/>
          <w:szCs w:val="24"/>
        </w:rPr>
        <w:t>?.</w:t>
      </w:r>
      <w:proofErr w:type="gramEnd"/>
      <w:r w:rsidRPr="00042F63">
        <w:rPr>
          <w:rFonts w:ascii="Times New Roman" w:hAnsi="Times New Roman" w:cs="Times New Roman"/>
          <w:sz w:val="20"/>
          <w:szCs w:val="24"/>
        </w:rPr>
        <w:t xml:space="preserve"> </w:t>
      </w:r>
    </w:p>
    <w:p w:rsidR="00042F63" w:rsidRPr="00042F63" w:rsidRDefault="00042F63" w:rsidP="00042F63">
      <w:pPr>
        <w:rPr>
          <w:rFonts w:ascii="Times New Roman" w:hAnsi="Times New Roman" w:cs="Times New Roman"/>
          <w:sz w:val="20"/>
          <w:szCs w:val="24"/>
        </w:rPr>
      </w:pPr>
    </w:p>
    <w:p w:rsidR="00562A44" w:rsidRPr="00562A44" w:rsidRDefault="00562A44" w:rsidP="00562A44">
      <w:pPr>
        <w:pStyle w:val="ListParagraph"/>
        <w:numPr>
          <w:ilvl w:val="0"/>
          <w:numId w:val="3"/>
        </w:numPr>
        <w:rPr>
          <w:rFonts w:ascii="Times New Roman" w:hAnsi="Times New Roman" w:cs="Times New Roman"/>
          <w:sz w:val="20"/>
          <w:szCs w:val="24"/>
        </w:rPr>
      </w:pPr>
      <w:r w:rsidRPr="00562A44">
        <w:rPr>
          <w:rFonts w:ascii="Times New Roman" w:hAnsi="Times New Roman" w:cs="Times New Roman"/>
          <w:sz w:val="20"/>
          <w:szCs w:val="24"/>
        </w:rPr>
        <w:t xml:space="preserve">H </w:t>
      </w:r>
      <w:proofErr w:type="spellStart"/>
      <w:r w:rsidRPr="00562A44">
        <w:rPr>
          <w:rFonts w:ascii="Times New Roman" w:hAnsi="Times New Roman" w:cs="Times New Roman"/>
          <w:sz w:val="20"/>
          <w:szCs w:val="24"/>
        </w:rPr>
        <w:t>Laetitia</w:t>
      </w:r>
      <w:proofErr w:type="spellEnd"/>
      <w:r w:rsidRPr="00562A44">
        <w:rPr>
          <w:rFonts w:ascii="Times New Roman" w:hAnsi="Times New Roman" w:cs="Times New Roman"/>
          <w:sz w:val="20"/>
          <w:szCs w:val="24"/>
        </w:rPr>
        <w:t xml:space="preserve"> </w:t>
      </w:r>
      <w:proofErr w:type="spellStart"/>
      <w:r w:rsidRPr="00562A44">
        <w:rPr>
          <w:rFonts w:ascii="Times New Roman" w:hAnsi="Times New Roman" w:cs="Times New Roman"/>
          <w:sz w:val="20"/>
          <w:szCs w:val="24"/>
        </w:rPr>
        <w:t>Hattinghe</w:t>
      </w:r>
      <w:proofErr w:type="spellEnd"/>
      <w:r w:rsidR="00691AAB" w:rsidRPr="00562A44">
        <w:rPr>
          <w:rFonts w:ascii="Times New Roman" w:hAnsi="Times New Roman" w:cs="Times New Roman"/>
          <w:sz w:val="20"/>
          <w:szCs w:val="24"/>
        </w:rPr>
        <w:t>.</w:t>
      </w:r>
      <w:r w:rsidRPr="00562A44">
        <w:rPr>
          <w:rFonts w:ascii="Times New Roman" w:hAnsi="Times New Roman" w:cs="Times New Roman"/>
          <w:sz w:val="20"/>
          <w:szCs w:val="24"/>
        </w:rPr>
        <w:t xml:space="preserve"> </w:t>
      </w:r>
      <w:proofErr w:type="spellStart"/>
      <w:r w:rsidRPr="00562A44">
        <w:rPr>
          <w:rFonts w:ascii="Times New Roman" w:hAnsi="Times New Roman" w:cs="Times New Roman"/>
          <w:sz w:val="20"/>
          <w:szCs w:val="24"/>
        </w:rPr>
        <w:t>dSchool</w:t>
      </w:r>
      <w:proofErr w:type="spellEnd"/>
      <w:r w:rsidRPr="00562A44">
        <w:rPr>
          <w:rFonts w:ascii="Times New Roman" w:hAnsi="Times New Roman" w:cs="Times New Roman"/>
          <w:sz w:val="20"/>
          <w:szCs w:val="24"/>
        </w:rPr>
        <w:t xml:space="preserve"> of Medicine, Bond University, QLD 4226, Australia, , </w:t>
      </w:r>
      <w:proofErr w:type="spellStart"/>
      <w:r w:rsidRPr="00562A44">
        <w:rPr>
          <w:rFonts w:ascii="Times New Roman" w:hAnsi="Times New Roman" w:cs="Times New Roman"/>
          <w:sz w:val="20"/>
          <w:szCs w:val="24"/>
        </w:rPr>
        <w:t>eSchool</w:t>
      </w:r>
      <w:proofErr w:type="spellEnd"/>
      <w:r w:rsidRPr="00562A44">
        <w:rPr>
          <w:rFonts w:ascii="Times New Roman" w:hAnsi="Times New Roman" w:cs="Times New Roman"/>
          <w:sz w:val="20"/>
          <w:szCs w:val="24"/>
        </w:rPr>
        <w:t xml:space="preserve"> of Pharmacy and Medical Sciences, Griffith University, QLD 4222, Australia.</w:t>
      </w:r>
    </w:p>
    <w:p w:rsidR="00691AAB" w:rsidRPr="00E04DFF" w:rsidRDefault="00691AAB" w:rsidP="00562A44">
      <w:pPr>
        <w:pStyle w:val="ListParagraph"/>
        <w:tabs>
          <w:tab w:val="left" w:pos="384"/>
        </w:tabs>
        <w:spacing w:before="0" w:line="276" w:lineRule="auto"/>
        <w:ind w:left="720" w:firstLine="0"/>
        <w:rPr>
          <w:rFonts w:ascii="Times New Roman" w:hAnsi="Times New Roman" w:cs="Times New Roman"/>
          <w:sz w:val="20"/>
          <w:szCs w:val="24"/>
        </w:rPr>
      </w:pPr>
    </w:p>
    <w:p w:rsidR="00691AAB"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E04DFF">
        <w:rPr>
          <w:rFonts w:ascii="Times New Roman" w:hAnsi="Times New Roman" w:cs="Times New Roman"/>
          <w:sz w:val="20"/>
          <w:szCs w:val="24"/>
        </w:rPr>
        <w:t>LiX</w:t>
      </w:r>
      <w:proofErr w:type="spellEnd"/>
      <w:r w:rsidRPr="00E04DFF">
        <w:rPr>
          <w:rFonts w:ascii="Times New Roman" w:hAnsi="Times New Roman" w:cs="Times New Roman"/>
          <w:sz w:val="20"/>
          <w:szCs w:val="24"/>
        </w:rPr>
        <w:t xml:space="preserve">, </w:t>
      </w:r>
      <w:proofErr w:type="spellStart"/>
      <w:r w:rsidRPr="00E04DFF">
        <w:rPr>
          <w:rFonts w:ascii="Times New Roman" w:hAnsi="Times New Roman" w:cs="Times New Roman"/>
          <w:sz w:val="20"/>
          <w:szCs w:val="24"/>
        </w:rPr>
        <w:t>Schwacha</w:t>
      </w:r>
      <w:proofErr w:type="spellEnd"/>
      <w:r w:rsidRPr="00E04DFF">
        <w:rPr>
          <w:rFonts w:ascii="Times New Roman" w:hAnsi="Times New Roman" w:cs="Times New Roman"/>
          <w:sz w:val="20"/>
          <w:szCs w:val="24"/>
        </w:rPr>
        <w:t xml:space="preserve"> MG, </w:t>
      </w:r>
      <w:proofErr w:type="spellStart"/>
      <w:r w:rsidRPr="00E04DFF">
        <w:rPr>
          <w:rFonts w:ascii="Times New Roman" w:hAnsi="Times New Roman" w:cs="Times New Roman"/>
          <w:sz w:val="20"/>
          <w:szCs w:val="24"/>
        </w:rPr>
        <w:t>Chaudry</w:t>
      </w:r>
      <w:proofErr w:type="spellEnd"/>
      <w:r w:rsidRPr="00E04DFF">
        <w:rPr>
          <w:rFonts w:ascii="Times New Roman" w:hAnsi="Times New Roman" w:cs="Times New Roman"/>
          <w:sz w:val="20"/>
          <w:szCs w:val="24"/>
        </w:rPr>
        <w:t xml:space="preserve"> IH, et al. </w:t>
      </w:r>
      <w:proofErr w:type="spellStart"/>
      <w:r w:rsidRPr="00E04DFF">
        <w:rPr>
          <w:rFonts w:ascii="Times New Roman" w:hAnsi="Times New Roman" w:cs="Times New Roman"/>
          <w:sz w:val="20"/>
          <w:szCs w:val="24"/>
        </w:rPr>
        <w:t>Acutealcohol</w:t>
      </w:r>
      <w:proofErr w:type="spellEnd"/>
      <w:r w:rsidRPr="00E04DFF">
        <w:rPr>
          <w:rFonts w:ascii="Times New Roman" w:hAnsi="Times New Roman" w:cs="Times New Roman"/>
          <w:sz w:val="20"/>
          <w:szCs w:val="24"/>
        </w:rPr>
        <w:t xml:space="preserve"> intoxication potentiates neutrophil-mediated intestinal tissue damage after burn injury. Shock. 2006</w:t>
      </w:r>
      <w:proofErr w:type="gramStart"/>
      <w:r w:rsidRPr="00E04DFF">
        <w:rPr>
          <w:rFonts w:ascii="Times New Roman" w:hAnsi="Times New Roman" w:cs="Times New Roman"/>
          <w:sz w:val="20"/>
          <w:szCs w:val="24"/>
        </w:rPr>
        <w:t>;29:377</w:t>
      </w:r>
      <w:proofErr w:type="gramEnd"/>
      <w:r w:rsidRPr="00E04DFF">
        <w:rPr>
          <w:rFonts w:ascii="Times New Roman" w:hAnsi="Times New Roman" w:cs="Times New Roman"/>
          <w:sz w:val="20"/>
          <w:szCs w:val="24"/>
        </w:rPr>
        <w:t>.</w:t>
      </w:r>
    </w:p>
    <w:p w:rsidR="00562A44" w:rsidRDefault="00562A44" w:rsidP="00E04DFF">
      <w:pPr>
        <w:tabs>
          <w:tab w:val="left" w:pos="384"/>
        </w:tabs>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562A44">
        <w:rPr>
          <w:rFonts w:ascii="Times New Roman" w:hAnsi="Times New Roman" w:cs="Times New Roman"/>
          <w:b/>
          <w:sz w:val="24"/>
          <w:szCs w:val="24"/>
        </w:rPr>
        <w:t>y</w:t>
      </w:r>
      <w:proofErr w:type="spellEnd"/>
    </w:p>
    <w:p w:rsidR="00EB7307" w:rsidRPr="00270966" w:rsidRDefault="00042F63" w:rsidP="00562A44">
      <w:pPr>
        <w:jc w:val="both"/>
        <w:rPr>
          <w:rFonts w:ascii="Times New Roman" w:hAnsi="Times New Roman" w:cs="Times New Roman"/>
          <w:sz w:val="20"/>
          <w:szCs w:val="24"/>
          <w:lang w:val="en-US"/>
        </w:rPr>
      </w:pPr>
      <w:r w:rsidRPr="00042F63">
        <w:rPr>
          <w:rFonts w:ascii="Times New Roman" w:hAnsi="Times New Roman" w:cs="Times New Roman"/>
          <w:sz w:val="20"/>
          <w:szCs w:val="24"/>
          <w:lang w:val="en-US"/>
        </w:rPr>
        <w:t>Jacob Marvin is an assistant professor of Public Health at Ohio Northern University. His current research interests include: Type 2 Diabetes Blood Glucose Monitoring Adherence Strategies, LGBTQIA+ Mental Health Outcomes on College-Aged Students, Chronic Disease and Infectious Disease.</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42F63"/>
    <w:rsid w:val="000549C7"/>
    <w:rsid w:val="000B6237"/>
    <w:rsid w:val="000E7069"/>
    <w:rsid w:val="000F063A"/>
    <w:rsid w:val="00270966"/>
    <w:rsid w:val="003979B5"/>
    <w:rsid w:val="004A6532"/>
    <w:rsid w:val="00524CE0"/>
    <w:rsid w:val="00562A44"/>
    <w:rsid w:val="00691AAB"/>
    <w:rsid w:val="007245CF"/>
    <w:rsid w:val="00861368"/>
    <w:rsid w:val="008D2886"/>
    <w:rsid w:val="00AB1CA2"/>
    <w:rsid w:val="00AB22C7"/>
    <w:rsid w:val="00B82905"/>
    <w:rsid w:val="00E036C1"/>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37324">
      <w:bodyDiv w:val="1"/>
      <w:marLeft w:val="0"/>
      <w:marRight w:val="0"/>
      <w:marTop w:val="0"/>
      <w:marBottom w:val="0"/>
      <w:divBdr>
        <w:top w:val="none" w:sz="0" w:space="0" w:color="auto"/>
        <w:left w:val="none" w:sz="0" w:space="0" w:color="auto"/>
        <w:bottom w:val="none" w:sz="0" w:space="0" w:color="auto"/>
        <w:right w:val="none" w:sz="0" w:space="0" w:color="auto"/>
      </w:divBdr>
    </w:div>
    <w:div w:id="636493272">
      <w:bodyDiv w:val="1"/>
      <w:marLeft w:val="0"/>
      <w:marRight w:val="0"/>
      <w:marTop w:val="0"/>
      <w:marBottom w:val="0"/>
      <w:divBdr>
        <w:top w:val="none" w:sz="0" w:space="0" w:color="auto"/>
        <w:left w:val="none" w:sz="0" w:space="0" w:color="auto"/>
        <w:bottom w:val="none" w:sz="0" w:space="0" w:color="auto"/>
        <w:right w:val="none" w:sz="0" w:space="0" w:color="auto"/>
      </w:divBdr>
    </w:div>
    <w:div w:id="775247541">
      <w:bodyDiv w:val="1"/>
      <w:marLeft w:val="0"/>
      <w:marRight w:val="0"/>
      <w:marTop w:val="0"/>
      <w:marBottom w:val="0"/>
      <w:divBdr>
        <w:top w:val="none" w:sz="0" w:space="0" w:color="auto"/>
        <w:left w:val="none" w:sz="0" w:space="0" w:color="auto"/>
        <w:bottom w:val="none" w:sz="0" w:space="0" w:color="auto"/>
        <w:right w:val="none" w:sz="0" w:space="0" w:color="auto"/>
      </w:divBdr>
    </w:div>
    <w:div w:id="1565292187">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 w:id="194334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2023-02-10T06:16:00Z</dcterms:created>
  <dcterms:modified xsi:type="dcterms:W3CDTF">2023-02-10T06:16:00Z</dcterms:modified>
</cp:coreProperties>
</file>