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C3E33" w14:textId="77777777" w:rsidR="002B2721" w:rsidRPr="002B2721" w:rsidRDefault="002B2721" w:rsidP="002B2721">
      <w:pPr>
        <w:widowControl/>
        <w:jc w:val="both"/>
        <w:outlineLvl w:val="0"/>
        <w:rPr>
          <w:rFonts w:ascii="Minion Pro" w:eastAsia="Minion Pro" w:hAnsi="Minion Pro" w:cs="Minion Pro"/>
          <w:b/>
          <w:bCs/>
          <w:color w:val="337AB7"/>
          <w:sz w:val="36"/>
          <w:szCs w:val="36"/>
        </w:rPr>
      </w:pPr>
      <w:r w:rsidRPr="002B2721">
        <w:rPr>
          <w:rFonts w:ascii="Minion Pro" w:eastAsia="Minion Pro" w:hAnsi="Minion Pro" w:cs="Minion Pro"/>
          <w:b/>
          <w:bCs/>
          <w:color w:val="337AB7"/>
          <w:sz w:val="36"/>
          <w:szCs w:val="36"/>
        </w:rPr>
        <w:t>Structure-based design and synthesis of conformationally constrained derivatives of methyl-piperidinopyrazole (MPP) with estrogen receptor (ER) antagonist activity</w:t>
      </w:r>
    </w:p>
    <w:p w14:paraId="6F693E55" w14:textId="77777777" w:rsidR="002B2721" w:rsidRDefault="002B2721" w:rsidP="00494130">
      <w:pPr>
        <w:pStyle w:val="Heading1"/>
        <w:spacing w:before="170"/>
        <w:ind w:left="0"/>
      </w:pPr>
    </w:p>
    <w:p w14:paraId="60D7276D" w14:textId="77777777" w:rsidR="00281457" w:rsidRPr="00A055E6" w:rsidRDefault="00281457" w:rsidP="00281457">
      <w:pPr>
        <w:spacing w:line="360" w:lineRule="auto"/>
        <w:jc w:val="center"/>
        <w:rPr>
          <w:rFonts w:asciiTheme="minorBidi" w:hAnsiTheme="minorBidi"/>
          <w:b/>
          <w:bCs/>
          <w:sz w:val="24"/>
          <w:szCs w:val="24"/>
        </w:rPr>
      </w:pPr>
      <w:r w:rsidRPr="00A055E6">
        <w:rPr>
          <w:rFonts w:asciiTheme="minorBidi" w:hAnsiTheme="minorBidi"/>
          <w:b/>
          <w:bCs/>
          <w:sz w:val="24"/>
          <w:szCs w:val="24"/>
        </w:rPr>
        <w:t>Shaymaa E. Kassab</w:t>
      </w:r>
      <w:r w:rsidRPr="00A055E6">
        <w:rPr>
          <w:rFonts w:asciiTheme="minorBidi" w:hAnsiTheme="minorBidi"/>
          <w:sz w:val="24"/>
          <w:szCs w:val="24"/>
          <w:vertAlign w:val="superscript"/>
        </w:rPr>
        <w:t>a</w:t>
      </w:r>
      <w:r>
        <w:rPr>
          <w:rFonts w:asciiTheme="minorBidi" w:hAnsiTheme="minorBidi"/>
          <w:b/>
          <w:bCs/>
          <w:sz w:val="24"/>
          <w:szCs w:val="24"/>
        </w:rPr>
        <w:t>*</w:t>
      </w:r>
    </w:p>
    <w:p w14:paraId="4571503E" w14:textId="2E0BE004" w:rsidR="00AE3E37" w:rsidRPr="00281457" w:rsidRDefault="00281457" w:rsidP="00281457">
      <w:pPr>
        <w:spacing w:line="360" w:lineRule="auto"/>
        <w:jc w:val="both"/>
        <w:rPr>
          <w:rFonts w:asciiTheme="minorBidi" w:hAnsiTheme="minorBidi"/>
          <w:b/>
          <w:bCs/>
          <w:i/>
          <w:iCs/>
          <w:sz w:val="20"/>
          <w:szCs w:val="20"/>
        </w:rPr>
      </w:pPr>
      <w:r w:rsidRPr="00A055E6">
        <w:rPr>
          <w:rFonts w:ascii="Open Sans" w:hAnsi="Open Sans" w:cs="Open Sans"/>
          <w:i/>
          <w:iCs/>
          <w:sz w:val="20"/>
          <w:szCs w:val="20"/>
          <w:shd w:val="clear" w:color="auto" w:fill="FFFFFF"/>
          <w:vertAlign w:val="superscript"/>
        </w:rPr>
        <w:t>a</w:t>
      </w:r>
      <w:r w:rsidRPr="00A055E6">
        <w:rPr>
          <w:rFonts w:ascii="Open Sans" w:hAnsi="Open Sans" w:cs="Open Sans"/>
          <w:i/>
          <w:iCs/>
          <w:sz w:val="20"/>
          <w:szCs w:val="20"/>
          <w:shd w:val="clear" w:color="auto" w:fill="FFFFFF"/>
        </w:rPr>
        <w:t>Pharmaceutical Chemistry Department, Faulty of Pharmacy, Damanhour University, Damanhour, Egypt</w:t>
      </w:r>
      <w:r>
        <w:rPr>
          <w:rFonts w:ascii="Open Sans" w:hAnsi="Open Sans" w:cs="Open Sans"/>
          <w:i/>
          <w:iCs/>
          <w:sz w:val="20"/>
          <w:szCs w:val="20"/>
          <w:shd w:val="clear" w:color="auto" w:fill="FFFFFF"/>
        </w:rPr>
        <w:t xml:space="preserve"> 22516.</w:t>
      </w:r>
    </w:p>
    <w:p w14:paraId="2720218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0B8B4687" w14:textId="7A74CDC4" w:rsidR="00AE3E37" w:rsidRDefault="002B2721" w:rsidP="002B2721">
      <w:pPr>
        <w:pStyle w:val="Heading3"/>
        <w:spacing w:before="74"/>
        <w:jc w:val="mediumKashida"/>
      </w:pPr>
      <w:r w:rsidRPr="002B2721">
        <w:rPr>
          <w:rFonts w:ascii="Tw Cen MT" w:eastAsia="Tw Cen MT" w:hAnsi="Tw Cen MT" w:cs="Tw Cen MT"/>
          <w:b w:val="0"/>
          <w:bCs w:val="0"/>
          <w:sz w:val="18"/>
          <w:szCs w:val="18"/>
        </w:rPr>
        <w:t xml:space="preserve">Nuclear Estrogen receptors (ER) are cytoplasmic proteins; translocated to the nucleus to induce transcriptional signals after getting bound to the estrogen hormone. ER activation implicated in cancer cell proliferation of female reproductive organs. Thus, the discovery of ER antagonists is a reliable strategy to combat </w:t>
      </w:r>
      <w:r w:rsidRPr="002B2721">
        <w:rPr>
          <w:rFonts w:ascii="Tw Cen MT" w:eastAsia="Tw Cen MT" w:hAnsi="Tw Cen MT" w:cs="Tw Cen MT"/>
          <w:b w:val="0"/>
          <w:bCs w:val="0"/>
          <w:sz w:val="18"/>
          <w:szCs w:val="18"/>
        </w:rPr>
        <w:t>estrogen dependent</w:t>
      </w:r>
      <w:r w:rsidRPr="002B2721">
        <w:rPr>
          <w:rFonts w:ascii="Tw Cen MT" w:eastAsia="Tw Cen MT" w:hAnsi="Tw Cen MT" w:cs="Tw Cen MT"/>
          <w:b w:val="0"/>
          <w:bCs w:val="0"/>
          <w:sz w:val="18"/>
          <w:szCs w:val="18"/>
        </w:rPr>
        <w:t xml:space="preserve"> breast cancer. Endometrial carcinoma is one of the complications encountered upon long-term therapy by selective estrogen receptor modulators (SERMs) like Tamoxifen (TMX) and methyl piperidinopyrazole (MPP). Thus, the ER-full antagonist is a solution to improve the safety of this class of therapeutics during the treatment of breast cancer. We selected MPP as a lead structure to design conformationally constrained analogs. Structural rigidification is a proven strategy to transform the SERMs into full antagonists. Accordingly, we synthesized 7-methoxy-3-(4-methoxyphenyl)-4,5-dihydro-2H-benzo[g]indazoles </w:t>
      </w:r>
      <w:r w:rsidRPr="002B2721">
        <w:rPr>
          <w:rFonts w:ascii="Tw Cen MT" w:eastAsia="Tw Cen MT" w:hAnsi="Tw Cen MT" w:cs="Tw Cen MT"/>
          <w:sz w:val="18"/>
          <w:szCs w:val="18"/>
        </w:rPr>
        <w:t>(4)</w:t>
      </w:r>
      <w:r w:rsidRPr="002B2721">
        <w:rPr>
          <w:rFonts w:ascii="Tw Cen MT" w:eastAsia="Tw Cen MT" w:hAnsi="Tw Cen MT" w:cs="Tw Cen MT"/>
          <w:b w:val="0"/>
          <w:bCs w:val="0"/>
          <w:sz w:val="18"/>
          <w:szCs w:val="18"/>
        </w:rPr>
        <w:t xml:space="preserve">, </w:t>
      </w:r>
      <w:r w:rsidRPr="002B2721">
        <w:rPr>
          <w:rFonts w:ascii="Tw Cen MT" w:eastAsia="Tw Cen MT" w:hAnsi="Tw Cen MT" w:cs="Tw Cen MT"/>
          <w:sz w:val="18"/>
          <w:szCs w:val="18"/>
        </w:rPr>
        <w:t>(6a-c)</w:t>
      </w:r>
      <w:r w:rsidRPr="002B2721">
        <w:rPr>
          <w:rFonts w:ascii="Tw Cen MT" w:eastAsia="Tw Cen MT" w:hAnsi="Tw Cen MT" w:cs="Tw Cen MT"/>
          <w:b w:val="0"/>
          <w:bCs w:val="0"/>
          <w:sz w:val="18"/>
          <w:szCs w:val="18"/>
        </w:rPr>
        <w:t xml:space="preserve">, </w:t>
      </w:r>
      <w:r w:rsidRPr="002B2721">
        <w:rPr>
          <w:rFonts w:ascii="Tw Cen MT" w:eastAsia="Tw Cen MT" w:hAnsi="Tw Cen MT" w:cs="Tw Cen MT"/>
          <w:sz w:val="18"/>
          <w:szCs w:val="18"/>
        </w:rPr>
        <w:t>(8–12</w:t>
      </w:r>
      <w:r w:rsidRPr="002B2721">
        <w:rPr>
          <w:rFonts w:ascii="Tw Cen MT" w:eastAsia="Tw Cen MT" w:hAnsi="Tw Cen MT" w:cs="Tw Cen MT"/>
          <w:b w:val="0"/>
          <w:bCs w:val="0"/>
          <w:sz w:val="18"/>
          <w:szCs w:val="18"/>
        </w:rPr>
        <w:t xml:space="preserve">) along with the biphenolic counterparts </w:t>
      </w:r>
      <w:r w:rsidRPr="002B2721">
        <w:rPr>
          <w:rFonts w:ascii="Tw Cen MT" w:eastAsia="Tw Cen MT" w:hAnsi="Tw Cen MT" w:cs="Tw Cen MT"/>
          <w:sz w:val="18"/>
          <w:szCs w:val="18"/>
        </w:rPr>
        <w:t>(13–19)</w:t>
      </w:r>
      <w:r w:rsidRPr="002B2721">
        <w:rPr>
          <w:rFonts w:ascii="Tw Cen MT" w:eastAsia="Tw Cen MT" w:hAnsi="Tw Cen MT" w:cs="Tw Cen MT"/>
          <w:b w:val="0"/>
          <w:bCs w:val="0"/>
          <w:sz w:val="18"/>
          <w:szCs w:val="18"/>
        </w:rPr>
        <w:t xml:space="preserve"> that are the anticipated active metabolites. The 4-nitrophenyl derivative (4) is with the most balanced profile regarding the in vivo anti-uterotrophic potential (EC</w:t>
      </w:r>
      <w:r w:rsidRPr="002B2721">
        <w:rPr>
          <w:rFonts w:ascii="Tw Cen MT" w:eastAsia="Tw Cen MT" w:hAnsi="Tw Cen MT" w:cs="Tw Cen MT"/>
          <w:b w:val="0"/>
          <w:bCs w:val="0"/>
          <w:sz w:val="18"/>
          <w:szCs w:val="18"/>
          <w:vertAlign w:val="subscript"/>
        </w:rPr>
        <w:t>50</w:t>
      </w:r>
      <w:r w:rsidRPr="002B2721">
        <w:rPr>
          <w:rFonts w:ascii="Tw Cen MT" w:eastAsia="Tw Cen MT" w:hAnsi="Tw Cen MT" w:cs="Tw Cen MT"/>
          <w:b w:val="0"/>
          <w:bCs w:val="0"/>
          <w:sz w:val="18"/>
          <w:szCs w:val="18"/>
        </w:rPr>
        <w:t xml:space="preserve"> = 4.160 </w:t>
      </w:r>
      <w:r w:rsidRPr="002B2721">
        <w:rPr>
          <w:rFonts w:ascii="Calibri" w:eastAsia="Tw Cen MT" w:hAnsi="Calibri" w:cs="Calibri"/>
          <w:b w:val="0"/>
          <w:bCs w:val="0"/>
          <w:sz w:val="18"/>
          <w:szCs w:val="18"/>
        </w:rPr>
        <w:t>μ</w:t>
      </w:r>
      <w:r w:rsidRPr="002B2721">
        <w:rPr>
          <w:rFonts w:ascii="Tw Cen MT" w:eastAsia="Tw Cen MT" w:hAnsi="Tw Cen MT" w:cs="Tw Cen MT"/>
          <w:b w:val="0"/>
          <w:bCs w:val="0"/>
          <w:sz w:val="18"/>
          <w:szCs w:val="18"/>
        </w:rPr>
        <w:t xml:space="preserve">M); and the cytotoxicity assay of the corresponding active metabolite </w:t>
      </w:r>
      <w:r w:rsidRPr="002B2721">
        <w:rPr>
          <w:rFonts w:ascii="Tw Cen MT" w:eastAsia="Tw Cen MT" w:hAnsi="Tw Cen MT" w:cs="Tw Cen MT"/>
          <w:sz w:val="18"/>
          <w:szCs w:val="18"/>
        </w:rPr>
        <w:t>(13)</w:t>
      </w:r>
      <w:r w:rsidRPr="002B2721">
        <w:rPr>
          <w:rFonts w:ascii="Tw Cen MT" w:eastAsia="Tw Cen MT" w:hAnsi="Tw Cen MT" w:cs="Tw Cen MT"/>
          <w:b w:val="0"/>
          <w:bCs w:val="0"/>
          <w:sz w:val="18"/>
          <w:szCs w:val="18"/>
        </w:rPr>
        <w:t xml:space="preserve"> against ER+ breast cancer cell lines (MCF7 IC</w:t>
      </w:r>
      <w:r w:rsidRPr="002B2721">
        <w:rPr>
          <w:rFonts w:ascii="Tw Cen MT" w:eastAsia="Tw Cen MT" w:hAnsi="Tw Cen MT" w:cs="Tw Cen MT"/>
          <w:b w:val="0"/>
          <w:bCs w:val="0"/>
          <w:sz w:val="18"/>
          <w:szCs w:val="18"/>
          <w:vertAlign w:val="subscript"/>
        </w:rPr>
        <w:t>50</w:t>
      </w:r>
      <w:r w:rsidRPr="002B2721">
        <w:rPr>
          <w:rFonts w:ascii="Tw Cen MT" w:eastAsia="Tw Cen MT" w:hAnsi="Tw Cen MT" w:cs="Tw Cen MT"/>
          <w:b w:val="0"/>
          <w:bCs w:val="0"/>
          <w:sz w:val="18"/>
          <w:szCs w:val="18"/>
        </w:rPr>
        <w:t xml:space="preserve"> = 7.200 </w:t>
      </w:r>
      <w:r w:rsidRPr="002B2721">
        <w:rPr>
          <w:rFonts w:ascii="Calibri" w:eastAsia="Tw Cen MT" w:hAnsi="Calibri" w:cs="Calibri"/>
          <w:b w:val="0"/>
          <w:bCs w:val="0"/>
          <w:sz w:val="18"/>
          <w:szCs w:val="18"/>
        </w:rPr>
        <w:t>μ</w:t>
      </w:r>
      <w:r w:rsidRPr="002B2721">
        <w:rPr>
          <w:rFonts w:ascii="Tw Cen MT" w:eastAsia="Tw Cen MT" w:hAnsi="Tw Cen MT" w:cs="Tw Cen MT"/>
          <w:b w:val="0"/>
          <w:bCs w:val="0"/>
          <w:sz w:val="18"/>
          <w:szCs w:val="18"/>
        </w:rPr>
        <w:t xml:space="preserve">M, T-47D </w:t>
      </w:r>
      <w:r>
        <w:rPr>
          <w:rFonts w:ascii="Tw Cen MT" w:eastAsia="Tw Cen MT" w:hAnsi="Tw Cen MT" w:cs="Tw Cen MT"/>
          <w:b w:val="0"/>
          <w:bCs w:val="0"/>
          <w:sz w:val="18"/>
          <w:szCs w:val="18"/>
        </w:rPr>
        <w:t>(</w:t>
      </w:r>
      <w:r w:rsidRPr="002B2721">
        <w:rPr>
          <w:rFonts w:ascii="Tw Cen MT" w:eastAsia="Tw Cen MT" w:hAnsi="Tw Cen MT" w:cs="Tw Cen MT"/>
          <w:b w:val="0"/>
          <w:bCs w:val="0"/>
          <w:sz w:val="18"/>
          <w:szCs w:val="18"/>
        </w:rPr>
        <w:t>IC</w:t>
      </w:r>
      <w:r w:rsidRPr="002B2721">
        <w:rPr>
          <w:rFonts w:ascii="Tw Cen MT" w:eastAsia="Tw Cen MT" w:hAnsi="Tw Cen MT" w:cs="Tw Cen MT"/>
          <w:b w:val="0"/>
          <w:bCs w:val="0"/>
          <w:sz w:val="18"/>
          <w:szCs w:val="18"/>
          <w:vertAlign w:val="subscript"/>
        </w:rPr>
        <w:t>50</w:t>
      </w:r>
      <w:r w:rsidRPr="002B2721">
        <w:rPr>
          <w:rFonts w:ascii="Tw Cen MT" w:eastAsia="Tw Cen MT" w:hAnsi="Tw Cen MT" w:cs="Tw Cen MT"/>
          <w:b w:val="0"/>
          <w:bCs w:val="0"/>
          <w:sz w:val="18"/>
          <w:szCs w:val="18"/>
        </w:rPr>
        <w:t xml:space="preserve"> = 11.710 </w:t>
      </w:r>
      <w:r w:rsidRPr="002B2721">
        <w:rPr>
          <w:rFonts w:ascii="Calibri" w:eastAsia="Tw Cen MT" w:hAnsi="Calibri" w:cs="Calibri"/>
          <w:b w:val="0"/>
          <w:bCs w:val="0"/>
          <w:sz w:val="18"/>
          <w:szCs w:val="18"/>
        </w:rPr>
        <w:t>μ</w:t>
      </w:r>
      <w:r w:rsidRPr="002B2721">
        <w:rPr>
          <w:rFonts w:ascii="Tw Cen MT" w:eastAsia="Tw Cen MT" w:hAnsi="Tw Cen MT" w:cs="Tw Cen MT"/>
          <w:b w:val="0"/>
          <w:bCs w:val="0"/>
          <w:sz w:val="18"/>
          <w:szCs w:val="18"/>
        </w:rPr>
        <w:t>M). The inconsiderable uterotrophic activities of the elaborated ER</w:t>
      </w:r>
      <w:r>
        <w:rPr>
          <w:rFonts w:ascii="Tw Cen MT" w:eastAsia="Tw Cen MT" w:hAnsi="Tw Cen MT" w:cs="Tw Cen MT"/>
          <w:b w:val="0"/>
          <w:bCs w:val="0"/>
          <w:sz w:val="18"/>
          <w:szCs w:val="18"/>
        </w:rPr>
        <w:t xml:space="preserve"> </w:t>
      </w:r>
      <w:r w:rsidRPr="002B2721">
        <w:rPr>
          <w:rFonts w:ascii="Tw Cen MT" w:eastAsia="Tw Cen MT" w:hAnsi="Tw Cen MT" w:cs="Tw Cen MT"/>
          <w:b w:val="0"/>
          <w:bCs w:val="0"/>
          <w:sz w:val="18"/>
          <w:szCs w:val="18"/>
        </w:rPr>
        <w:t xml:space="preserve">antagonists and weak antiproliferative activity of the compound </w:t>
      </w:r>
      <w:r w:rsidRPr="002B2721">
        <w:rPr>
          <w:rFonts w:ascii="Tw Cen MT" w:eastAsia="Tw Cen MT" w:hAnsi="Tw Cen MT" w:cs="Tw Cen MT"/>
          <w:sz w:val="18"/>
          <w:szCs w:val="18"/>
        </w:rPr>
        <w:t>(13)</w:t>
      </w:r>
      <w:r w:rsidRPr="002B2721">
        <w:rPr>
          <w:rFonts w:ascii="Tw Cen MT" w:eastAsia="Tw Cen MT" w:hAnsi="Tw Cen MT" w:cs="Tw Cen MT"/>
          <w:b w:val="0"/>
          <w:bCs w:val="0"/>
          <w:sz w:val="18"/>
          <w:szCs w:val="18"/>
        </w:rPr>
        <w:t xml:space="preserve"> against ovarian cancer (SKOV-3 IC</w:t>
      </w:r>
      <w:r w:rsidRPr="002B2721">
        <w:rPr>
          <w:rFonts w:ascii="Tw Cen MT" w:eastAsia="Tw Cen MT" w:hAnsi="Tw Cen MT" w:cs="Tw Cen MT"/>
          <w:b w:val="0"/>
          <w:bCs w:val="0"/>
          <w:sz w:val="18"/>
          <w:szCs w:val="18"/>
          <w:vertAlign w:val="subscript"/>
        </w:rPr>
        <w:t>50</w:t>
      </w:r>
      <w:r w:rsidRPr="002B2721">
        <w:rPr>
          <w:rFonts w:ascii="Tw Cen MT" w:eastAsia="Tw Cen MT" w:hAnsi="Tw Cen MT" w:cs="Tw Cen MT"/>
          <w:b w:val="0"/>
          <w:bCs w:val="0"/>
          <w:sz w:val="18"/>
          <w:szCs w:val="18"/>
        </w:rPr>
        <w:t xml:space="preserve"> = 29.800 </w:t>
      </w:r>
      <w:r w:rsidRPr="002B2721">
        <w:rPr>
          <w:rFonts w:ascii="Calibri" w:eastAsia="Tw Cen MT" w:hAnsi="Calibri" w:cs="Calibri"/>
          <w:b w:val="0"/>
          <w:bCs w:val="0"/>
          <w:sz w:val="18"/>
          <w:szCs w:val="18"/>
        </w:rPr>
        <w:t>μ</w:t>
      </w:r>
      <w:r w:rsidRPr="002B2721">
        <w:rPr>
          <w:rFonts w:ascii="Tw Cen MT" w:eastAsia="Tw Cen MT" w:hAnsi="Tw Cen MT" w:cs="Tw Cen MT"/>
          <w:b w:val="0"/>
          <w:bCs w:val="0"/>
          <w:sz w:val="18"/>
          <w:szCs w:val="18"/>
        </w:rPr>
        <w:t xml:space="preserve">M) highlighted it as a good start point to elaborate potential ER-full antagonists devoid of endometrial carcinoma. Extending the pendant chain that protrudes from the 2-(4-(substituted)-phenyl) ring of the new benzo-indazoles is recommended for enhancing the potency based on the binding mode of compound </w:t>
      </w:r>
      <w:r w:rsidRPr="002B2721">
        <w:rPr>
          <w:rFonts w:ascii="Tw Cen MT" w:eastAsia="Tw Cen MT" w:hAnsi="Tw Cen MT" w:cs="Tw Cen MT"/>
          <w:sz w:val="18"/>
          <w:szCs w:val="18"/>
        </w:rPr>
        <w:t>(13)</w:t>
      </w:r>
      <w:r w:rsidRPr="002B2721">
        <w:rPr>
          <w:rFonts w:ascii="Tw Cen MT" w:eastAsia="Tw Cen MT" w:hAnsi="Tw Cen MT" w:cs="Tw Cen MT"/>
          <w:b w:val="0"/>
          <w:bCs w:val="0"/>
          <w:sz w:val="18"/>
          <w:szCs w:val="18"/>
        </w:rPr>
        <w:t xml:space="preserve"> in the ligand-binding domain (LBD) of ER. </w:t>
      </w:r>
    </w:p>
    <w:p w14:paraId="791D5001" w14:textId="7A209AFB" w:rsidR="00AE3E37" w:rsidRDefault="002B2721" w:rsidP="00FF7DFD">
      <w:pPr>
        <w:pStyle w:val="BodyText"/>
        <w:spacing w:before="2"/>
        <w:jc w:val="center"/>
        <w:rPr>
          <w:rFonts w:ascii="Arial"/>
          <w:b/>
          <w:sz w:val="16"/>
        </w:rPr>
      </w:pPr>
      <w:r>
        <w:rPr>
          <w:rFonts w:ascii="Arial"/>
          <w:b/>
          <w:noProof/>
          <w:sz w:val="16"/>
        </w:rPr>
        <w:drawing>
          <wp:inline distT="0" distB="0" distL="0" distR="0" wp14:anchorId="3A91BAB5" wp14:editId="15965C54">
            <wp:extent cx="2913380" cy="2715905"/>
            <wp:effectExtent l="0" t="0" r="127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3380" cy="2715905"/>
                    </a:xfrm>
                    <a:prstGeom prst="rect">
                      <a:avLst/>
                    </a:prstGeom>
                    <a:noFill/>
                  </pic:spPr>
                </pic:pic>
              </a:graphicData>
            </a:graphic>
          </wp:inline>
        </w:drawing>
      </w:r>
    </w:p>
    <w:p w14:paraId="74932195" w14:textId="16C68CD4" w:rsidR="005973B9" w:rsidRDefault="005973B9" w:rsidP="005973B9">
      <w:pPr>
        <w:spacing w:line="204" w:lineRule="exact"/>
        <w:rPr>
          <w:rFonts w:ascii="Arial"/>
          <w:b/>
          <w:sz w:val="20"/>
        </w:rPr>
      </w:pPr>
      <w:r>
        <w:rPr>
          <w:rFonts w:ascii="Arial"/>
          <w:b/>
          <w:color w:val="BF5A14"/>
          <w:sz w:val="20"/>
        </w:rPr>
        <w:br/>
      </w:r>
      <w:r w:rsidR="00281457">
        <w:rPr>
          <w:rFonts w:ascii="Arial"/>
          <w:b/>
          <w:color w:val="BF5A14"/>
          <w:sz w:val="20"/>
        </w:rPr>
        <w:t xml:space="preserve">  </w:t>
      </w:r>
      <w:r>
        <w:rPr>
          <w:rFonts w:ascii="Arial"/>
          <w:b/>
          <w:color w:val="BF5A14"/>
          <w:sz w:val="20"/>
        </w:rPr>
        <w:t>Recent Publication</w:t>
      </w:r>
      <w:r w:rsidR="00281457">
        <w:rPr>
          <w:rFonts w:ascii="Arial"/>
          <w:b/>
          <w:color w:val="BF5A14"/>
          <w:sz w:val="20"/>
        </w:rPr>
        <w:t>s</w:t>
      </w:r>
    </w:p>
    <w:p w14:paraId="00A972C3" w14:textId="77777777" w:rsidR="00FF7DFD" w:rsidRPr="00FF7DFD" w:rsidRDefault="00FF7DFD" w:rsidP="00FF7DFD">
      <w:pPr>
        <w:pStyle w:val="ListParagraph"/>
        <w:numPr>
          <w:ilvl w:val="0"/>
          <w:numId w:val="3"/>
        </w:numPr>
        <w:rPr>
          <w:sz w:val="18"/>
        </w:rPr>
      </w:pPr>
      <w:r w:rsidRPr="00FF7DFD">
        <w:rPr>
          <w:sz w:val="18"/>
          <w:u w:val="single"/>
        </w:rPr>
        <w:t>Kassab, S. E.*;</w:t>
      </w:r>
      <w:r w:rsidRPr="00FF7DFD">
        <w:rPr>
          <w:sz w:val="18"/>
        </w:rPr>
        <w:t xml:space="preserve"> </w:t>
      </w:r>
      <w:proofErr w:type="spellStart"/>
      <w:r w:rsidRPr="00FF7DFD">
        <w:rPr>
          <w:sz w:val="18"/>
        </w:rPr>
        <w:t>Khedr</w:t>
      </w:r>
      <w:proofErr w:type="spellEnd"/>
      <w:r w:rsidRPr="00FF7DFD">
        <w:rPr>
          <w:sz w:val="18"/>
        </w:rPr>
        <w:t>, M. A.; Aly, H. I.; Abdallah, M. M., Discovery of New Indomethacin-based analogs with Potentially Selective Cyclooxygenase-2 Inhibition and Observed Diminishing to PGE2 activities, European Journal of Medicinal Chemistry 2017, 141, 306-321.</w:t>
      </w:r>
    </w:p>
    <w:p w14:paraId="7A1F9D39" w14:textId="77777777" w:rsidR="00FF7DFD" w:rsidRPr="00FF7DFD" w:rsidRDefault="00FF7DFD" w:rsidP="00FF7DFD">
      <w:pPr>
        <w:pStyle w:val="ListParagraph"/>
        <w:numPr>
          <w:ilvl w:val="0"/>
          <w:numId w:val="3"/>
        </w:numPr>
        <w:rPr>
          <w:sz w:val="18"/>
        </w:rPr>
      </w:pPr>
      <w:proofErr w:type="spellStart"/>
      <w:r w:rsidRPr="00FF7DFD">
        <w:rPr>
          <w:sz w:val="18"/>
        </w:rPr>
        <w:t>ElBordiny</w:t>
      </w:r>
      <w:proofErr w:type="spellEnd"/>
      <w:r w:rsidRPr="00FF7DFD">
        <w:rPr>
          <w:sz w:val="18"/>
        </w:rPr>
        <w:t>, H. S., El-</w:t>
      </w:r>
      <w:proofErr w:type="spellStart"/>
      <w:r w:rsidRPr="00FF7DFD">
        <w:rPr>
          <w:sz w:val="18"/>
        </w:rPr>
        <w:t>Miligy</w:t>
      </w:r>
      <w:proofErr w:type="spellEnd"/>
      <w:r w:rsidRPr="00FF7DFD">
        <w:rPr>
          <w:sz w:val="18"/>
        </w:rPr>
        <w:t xml:space="preserve">, M. M.; </w:t>
      </w:r>
      <w:r w:rsidRPr="00FF7DFD">
        <w:rPr>
          <w:sz w:val="18"/>
          <w:u w:val="single"/>
        </w:rPr>
        <w:t>Kassab, S. E.*;</w:t>
      </w:r>
      <w:r w:rsidRPr="00FF7DFD">
        <w:rPr>
          <w:sz w:val="18"/>
        </w:rPr>
        <w:t xml:space="preserve"> Daabees, H.; El-Hawash, S. A. M; Ali, W. A. M., Design, synthesis, biological evaluation and docking studies of new 3-(4,5-dihydro-1H-pyrazol/isoxazol-5-yl)-2-phenyl-1H-indole derivatives as potent antioxidants and 15-lipoxygenase inhibitors, European Journal of Medicinal Chemistry 2018, 145, 594-605.</w:t>
      </w:r>
    </w:p>
    <w:p w14:paraId="2A512961" w14:textId="77777777" w:rsidR="00FF7DFD" w:rsidRPr="00FF7DFD" w:rsidRDefault="00FF7DFD" w:rsidP="00FF7DFD">
      <w:pPr>
        <w:pStyle w:val="ListParagraph"/>
        <w:numPr>
          <w:ilvl w:val="0"/>
          <w:numId w:val="3"/>
        </w:numPr>
        <w:rPr>
          <w:sz w:val="18"/>
        </w:rPr>
      </w:pPr>
      <w:r w:rsidRPr="00FF7DFD">
        <w:rPr>
          <w:sz w:val="18"/>
          <w:u w:val="single"/>
        </w:rPr>
        <w:t>Kassab, S. E.*;</w:t>
      </w:r>
      <w:r w:rsidRPr="00FF7DFD">
        <w:rPr>
          <w:sz w:val="18"/>
        </w:rPr>
        <w:t xml:space="preserve"> Mowafy, S.; </w:t>
      </w:r>
      <w:proofErr w:type="spellStart"/>
      <w:r w:rsidRPr="00FF7DFD">
        <w:rPr>
          <w:sz w:val="18"/>
        </w:rPr>
        <w:t>Alserw</w:t>
      </w:r>
      <w:proofErr w:type="spellEnd"/>
      <w:r w:rsidRPr="00FF7DFD">
        <w:rPr>
          <w:sz w:val="18"/>
        </w:rPr>
        <w:t xml:space="preserve">, A. M.; </w:t>
      </w:r>
      <w:proofErr w:type="spellStart"/>
      <w:r w:rsidRPr="00FF7DFD">
        <w:rPr>
          <w:sz w:val="18"/>
        </w:rPr>
        <w:t>Seliem</w:t>
      </w:r>
      <w:proofErr w:type="spellEnd"/>
      <w:r w:rsidRPr="00FF7DFD">
        <w:rPr>
          <w:sz w:val="18"/>
        </w:rPr>
        <w:t>, J. A.; l-Naggar, S. M.; Omar, N. N.; Awad, M. M., Structure-based design generated novel hydroxamic acid based preferential HDAC6 lead inhibitor with on-target cytotoxic activity against primary choroid plexus carcinoma, Journal of Enzyme Inhibition and Medicinal Chemistry 2019, 34, 1062-1077.</w:t>
      </w:r>
    </w:p>
    <w:p w14:paraId="77EEA4AB" w14:textId="77777777" w:rsidR="00FF7DFD" w:rsidRPr="00FF7DFD" w:rsidRDefault="00FF7DFD" w:rsidP="00FF7DFD">
      <w:pPr>
        <w:pStyle w:val="ListParagraph"/>
        <w:numPr>
          <w:ilvl w:val="0"/>
          <w:numId w:val="3"/>
        </w:numPr>
        <w:rPr>
          <w:sz w:val="18"/>
        </w:rPr>
      </w:pPr>
      <w:r w:rsidRPr="00FF7DFD">
        <w:rPr>
          <w:sz w:val="18"/>
        </w:rPr>
        <w:t>Kassab, S. E.*; Mowafy, S., Structural basis of selective human indoleamine‐2, 3‐dioxygenase 1 (hIDO1) inhibition, ChemMedChem, 2021, 16 (20), 3149-3164.</w:t>
      </w:r>
    </w:p>
    <w:p w14:paraId="1CBFEF5E" w14:textId="3373DD76" w:rsidR="005973B9" w:rsidRDefault="005973B9" w:rsidP="00FF7DFD">
      <w:pPr>
        <w:pStyle w:val="BodyText"/>
        <w:spacing w:before="85" w:line="216" w:lineRule="exact"/>
        <w:ind w:left="270" w:right="138" w:hanging="180"/>
        <w:jc w:val="both"/>
        <w:rPr>
          <w:rFonts w:ascii="Calibri" w:hAnsi="Calibri"/>
        </w:rPr>
      </w:pPr>
      <w:r>
        <w:rPr>
          <w:rFonts w:ascii="Calibri" w:hAnsi="Calibri"/>
        </w:rPr>
        <w:t xml:space="preserve">5. </w:t>
      </w:r>
      <w:r w:rsidR="00FF7DFD" w:rsidRPr="00FF7DFD">
        <w:rPr>
          <w:rFonts w:ascii="Calibri" w:hAnsi="Calibri"/>
        </w:rPr>
        <w:t xml:space="preserve">Mahmoud A Ragab, Mohamed </w:t>
      </w:r>
      <w:proofErr w:type="spellStart"/>
      <w:r w:rsidR="00FF7DFD" w:rsidRPr="00FF7DFD">
        <w:rPr>
          <w:rFonts w:ascii="Calibri" w:hAnsi="Calibri"/>
        </w:rPr>
        <w:t>Elagawany</w:t>
      </w:r>
      <w:proofErr w:type="spellEnd"/>
      <w:r w:rsidR="00FF7DFD" w:rsidRPr="00FF7DFD">
        <w:rPr>
          <w:rFonts w:ascii="Calibri" w:hAnsi="Calibri"/>
        </w:rPr>
        <w:t>, Hoda Daabees, Al-Shaimaa F Ahmed, Eman</w:t>
      </w:r>
      <w:r w:rsidR="008C7FFE" w:rsidRPr="008C7FFE">
        <w:t xml:space="preserve"> </w:t>
      </w:r>
      <w:r w:rsidR="008C7FFE" w:rsidRPr="008C7FFE">
        <w:rPr>
          <w:rFonts w:ascii="Calibri" w:hAnsi="Calibri"/>
        </w:rPr>
        <w:t xml:space="preserve">M Awad, Cyrielle Billon, Bahaa </w:t>
      </w:r>
      <w:proofErr w:type="spellStart"/>
      <w:r w:rsidR="008C7FFE" w:rsidRPr="008C7FFE">
        <w:rPr>
          <w:rFonts w:ascii="Calibri" w:hAnsi="Calibri"/>
        </w:rPr>
        <w:t>Elgendy</w:t>
      </w:r>
      <w:proofErr w:type="spellEnd"/>
      <w:r w:rsidR="008C7FFE" w:rsidRPr="008C7FFE">
        <w:rPr>
          <w:rFonts w:ascii="Calibri" w:hAnsi="Calibri"/>
        </w:rPr>
        <w:t>, Khaled AM Abouzid*, Shaymaa E Kassab*,</w:t>
      </w:r>
      <w:r w:rsidR="008C7FFE" w:rsidRPr="008C7FFE">
        <w:t xml:space="preserve"> </w:t>
      </w:r>
      <w:r w:rsidR="008C7FFE" w:rsidRPr="008C7FFE">
        <w:rPr>
          <w:rFonts w:ascii="Calibri" w:hAnsi="Calibri"/>
        </w:rPr>
        <w:t>Structure-based design and synthesis of conformationally constrained derivatives</w:t>
      </w:r>
      <w:r w:rsidR="008C7FFE" w:rsidRPr="008C7FFE">
        <w:t xml:space="preserve"> </w:t>
      </w:r>
      <w:r w:rsidR="008C7FFE" w:rsidRPr="008C7FFE">
        <w:rPr>
          <w:rFonts w:ascii="Calibri" w:hAnsi="Calibri"/>
        </w:rPr>
        <w:t>of methyl-piperidinopyrazole (MPP) with estrogen receptor (ER) antagonist activity,</w:t>
      </w:r>
      <w:r w:rsidR="008C7FFE" w:rsidRPr="008C7FFE">
        <w:t xml:space="preserve"> </w:t>
      </w:r>
      <w:r w:rsidR="008C7FFE" w:rsidRPr="008C7FFE">
        <w:rPr>
          <w:rFonts w:ascii="Calibri" w:hAnsi="Calibri"/>
        </w:rPr>
        <w:t>Bioorganic Chemistry, 2022, 119, 105554.</w:t>
      </w:r>
    </w:p>
    <w:p w14:paraId="0A4EA70B" w14:textId="77777777" w:rsidR="00AE3E37" w:rsidRPr="008756E6" w:rsidRDefault="00AE3E37" w:rsidP="008756E6">
      <w:pPr>
        <w:tabs>
          <w:tab w:val="left" w:pos="384"/>
        </w:tabs>
        <w:ind w:right="117"/>
      </w:pPr>
    </w:p>
    <w:p w14:paraId="066B05D3" w14:textId="7F03C5CA" w:rsidR="00AE3E37" w:rsidRDefault="008756E6">
      <w:pPr>
        <w:spacing w:line="200" w:lineRule="exact"/>
        <w:jc w:val="both"/>
        <w:rPr>
          <w:rFonts w:ascii="Calibri" w:hAnsi="Calibri"/>
        </w:rPr>
        <w:sectPr w:rsidR="00AE3E37" w:rsidSect="008C7FFE">
          <w:type w:val="continuous"/>
          <w:pgSz w:w="11910" w:h="16840"/>
          <w:pgMar w:top="995" w:right="600" w:bottom="270" w:left="620" w:header="720" w:footer="720" w:gutter="0"/>
          <w:cols w:num="2" w:space="720" w:equalWidth="0">
            <w:col w:w="5214" w:space="138"/>
            <w:col w:w="5338"/>
          </w:cols>
        </w:sectPr>
      </w:pPr>
      <w:r>
        <w:rPr>
          <w:rFonts w:ascii="Calibri" w:hAnsi="Calibri"/>
        </w:rPr>
        <w:t xml:space="preserve">  </w:t>
      </w:r>
    </w:p>
    <w:p w14:paraId="54430E77" w14:textId="2B8EC97E" w:rsidR="00FF7DFD" w:rsidRDefault="00FF7DFD">
      <w:pPr>
        <w:pStyle w:val="BodyText"/>
        <w:rPr>
          <w:rFonts w:ascii="Calibri"/>
          <w:sz w:val="20"/>
        </w:rPr>
      </w:pPr>
    </w:p>
    <w:p w14:paraId="1FD4AD95" w14:textId="77777777" w:rsidR="00FF7DFD" w:rsidRDefault="00FF7DFD">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8A00D8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0EC4919B" w:rsidR="00AE3E37" w:rsidRDefault="008756E6" w:rsidP="00404E5B">
      <w:pPr>
        <w:spacing w:before="92"/>
        <w:ind w:right="4234"/>
        <w:rPr>
          <w:rFonts w:ascii="Arial"/>
        </w:rPr>
      </w:pPr>
      <w:r>
        <w:rPr>
          <w:noProof/>
        </w:rPr>
        <w:lastRenderedPageBreak/>
        <w:t xml:space="preserve">              </w:t>
      </w:r>
      <w:r w:rsidR="00281457">
        <w:object w:dxaOrig="4680" w:dyaOrig="6210" w14:anchorId="792B70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54.3pt;height:63.35pt" o:ole="">
            <v:imagedata r:id="rId9" o:title=""/>
          </v:shape>
          <o:OLEObject Type="Embed" ProgID="PBrush" ShapeID="_x0000_i1034" DrawAspect="Content" ObjectID="_1737480805" r:id="rId10"/>
        </w:object>
      </w:r>
      <w:r w:rsidR="00A52075" w:rsidRPr="00A52075">
        <w:rPr>
          <w:rFonts w:ascii="Times New Roman" w:hAnsi="Times New Roman" w:cs="Times New Roman"/>
          <w:sz w:val="24"/>
          <w:szCs w:val="24"/>
        </w:rPr>
        <w:t xml:space="preserve"> </w:t>
      </w:r>
    </w:p>
    <w:p w14:paraId="6BC94202" w14:textId="36AD5748" w:rsidR="00FE1DB8" w:rsidRDefault="00FE1DB8" w:rsidP="00281457">
      <w:pPr>
        <w:spacing w:before="62"/>
        <w:ind w:right="-20"/>
        <w:jc w:val="both"/>
        <w:rPr>
          <w:rFonts w:ascii="Arial"/>
          <w:sz w:val="14"/>
        </w:rPr>
      </w:pPr>
      <w:r w:rsidRPr="00FE1DB8">
        <w:rPr>
          <w:rFonts w:ascii="Arial"/>
          <w:sz w:val="14"/>
        </w:rPr>
        <w:t>Dr. Kassab is currently Associate Professor of Medicinal Chemistry at Faculty of Pharmacy-Damanhour</w:t>
      </w:r>
      <w:r>
        <w:rPr>
          <w:rFonts w:ascii="Arial"/>
          <w:sz w:val="14"/>
        </w:rPr>
        <w:t xml:space="preserve"> </w:t>
      </w:r>
      <w:r w:rsidRPr="00FE1DB8">
        <w:rPr>
          <w:rFonts w:ascii="Arial"/>
          <w:sz w:val="14"/>
        </w:rPr>
        <w:t>University.</w:t>
      </w:r>
      <w:r w:rsidRPr="00FE1DB8">
        <w:rPr>
          <w:rFonts w:asciiTheme="majorBidi" w:eastAsiaTheme="minorHAnsi" w:hAnsiTheme="majorBidi" w:cstheme="majorBidi"/>
          <w:noProof/>
          <w:sz w:val="24"/>
          <w:szCs w:val="24"/>
        </w:rPr>
        <w:t xml:space="preserve"> </w:t>
      </w:r>
      <w:r w:rsidRPr="00FE1DB8">
        <w:rPr>
          <w:rFonts w:ascii="Arial"/>
          <w:sz w:val="14"/>
        </w:rPr>
        <w:t>In 2014, she joined a research group at the University of Maryland in Baltimore in the USA as a research fellow via a personal grant and patented a compound of therapeutic value against B call lymphoma. In 2016, she went back to USA as a research fellow at top universities there, Virginia Commonwealth and Texas A&amp;M to learn and get trained on advanced research instruments and join research projects targeting neurological disorders.</w:t>
      </w:r>
      <w:r w:rsidRPr="00FE1DB8">
        <w:rPr>
          <w:rFonts w:asciiTheme="majorBidi" w:eastAsiaTheme="minorHAnsi" w:hAnsiTheme="majorBidi" w:cstheme="majorBidi"/>
          <w:noProof/>
          <w:sz w:val="24"/>
          <w:szCs w:val="24"/>
        </w:rPr>
        <w:t xml:space="preserve"> </w:t>
      </w:r>
      <w:r w:rsidRPr="00FE1DB8">
        <w:rPr>
          <w:rFonts w:ascii="Arial"/>
          <w:sz w:val="14"/>
        </w:rPr>
        <w:t>Dr. Kassab</w:t>
      </w:r>
      <w:r w:rsidRPr="00FE1DB8">
        <w:rPr>
          <w:rFonts w:ascii="Arial"/>
          <w:sz w:val="14"/>
        </w:rPr>
        <w:t>’</w:t>
      </w:r>
      <w:r w:rsidRPr="00FE1DB8">
        <w:rPr>
          <w:rFonts w:ascii="Arial"/>
          <w:sz w:val="14"/>
        </w:rPr>
        <w:t xml:space="preserve">s publications are in Q1-lead-international journals and specialized in Medicinal Chemistry and drug discovery. </w:t>
      </w:r>
      <w:r>
        <w:rPr>
          <w:rFonts w:ascii="Arial"/>
          <w:sz w:val="14"/>
        </w:rPr>
        <w:t>She focuses on designing novel compounds and developing others to be with minimized adverse effects and are selectively acting against the biological targets. Dr. Kassab is a reviewer for Journal of Medicinal Chemistry, European Journal of Medicinal Chemistry, and ACS Omega.</w:t>
      </w:r>
      <w:r w:rsidRPr="00FE1DB8">
        <w:rPr>
          <w:rFonts w:ascii="Arial"/>
          <w:sz w:val="14"/>
        </w:rPr>
        <w:t xml:space="preserve">     </w:t>
      </w:r>
    </w:p>
    <w:p w14:paraId="2BDB415E" w14:textId="77777777" w:rsidR="00FE1DB8" w:rsidRDefault="00FE1DB8" w:rsidP="00281457">
      <w:pPr>
        <w:spacing w:before="62"/>
        <w:ind w:right="4235"/>
        <w:rPr>
          <w:rFonts w:ascii="Arial"/>
          <w:sz w:val="14"/>
        </w:rPr>
      </w:pPr>
    </w:p>
    <w:p w14:paraId="263B4AD8" w14:textId="639A451C" w:rsidR="00AE3E37" w:rsidRPr="00281457" w:rsidRDefault="00A9710C" w:rsidP="00281457">
      <w:pPr>
        <w:spacing w:before="62"/>
        <w:ind w:left="4217" w:right="3400"/>
        <w:jc w:val="center"/>
        <w:rPr>
          <w:rFonts w:ascii="Arial"/>
          <w:sz w:val="14"/>
        </w:rPr>
      </w:pPr>
      <w:r>
        <w:rPr>
          <w:rFonts w:ascii="Arial"/>
          <w:sz w:val="14"/>
        </w:rPr>
        <w:t>Email:</w:t>
      </w:r>
      <w:r w:rsidR="00281457">
        <w:rPr>
          <w:rFonts w:ascii="Arial"/>
          <w:sz w:val="14"/>
        </w:rPr>
        <w:t xml:space="preserve"> Shaymaa.kassab@pharm.dmu.edu.eg</w:t>
      </w:r>
      <w:r w:rsidR="00292ED9">
        <w:rPr>
          <w:noProof/>
          <w:lang w:val="en-IN" w:eastAsia="en-IN"/>
        </w:rPr>
        <mc:AlternateContent>
          <mc:Choice Requires="wps">
            <w:drawing>
              <wp:anchor distT="0" distB="0" distL="0" distR="0" simplePos="0" relativeHeight="251657728"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FCD0F6"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D6EBC50" w14:textId="77777777" w:rsidR="00AE3E37" w:rsidRDefault="00AE3E37">
      <w:pPr>
        <w:pStyle w:val="BodyText"/>
        <w:spacing w:before="7"/>
        <w:rPr>
          <w:rFonts w:ascii="Arial"/>
          <w:sz w:val="29"/>
        </w:rPr>
      </w:pPr>
    </w:p>
    <w:p w14:paraId="07B61B8E" w14:textId="4EC7D2FD" w:rsidR="00AE3E37" w:rsidRPr="00281457" w:rsidRDefault="00A9710C" w:rsidP="00281457">
      <w:pPr>
        <w:spacing w:before="39"/>
        <w:ind w:left="100"/>
        <w:rPr>
          <w:rFonts w:ascii="Minion Pro"/>
          <w:b/>
          <w:sz w:val="20"/>
        </w:rPr>
        <w:sectPr w:rsidR="00AE3E37" w:rsidRPr="00281457" w:rsidSect="008E5477">
          <w:type w:val="continuous"/>
          <w:pgSz w:w="11910" w:h="16840"/>
          <w:pgMar w:top="995" w:right="600" w:bottom="840" w:left="620" w:header="720" w:footer="720" w:gutter="0"/>
          <w:cols w:space="720"/>
        </w:sectPr>
      </w:pPr>
      <w:r w:rsidRPr="00B21A57">
        <w:rPr>
          <w:rFonts w:ascii="Minion Pro"/>
          <w:b/>
          <w:sz w:val="20"/>
        </w:rPr>
        <w:t>Notes/Comment</w:t>
      </w:r>
    </w:p>
    <w:p w14:paraId="704BC078" w14:textId="77777777" w:rsidR="00F046EA" w:rsidRPr="0013708E" w:rsidRDefault="00F046EA" w:rsidP="00F046EA">
      <w:pPr>
        <w:jc w:val="both"/>
        <w:rPr>
          <w:b/>
        </w:rPr>
      </w:pPr>
      <w:r w:rsidRPr="0013708E">
        <w:rPr>
          <w:b/>
        </w:rPr>
        <w:t xml:space="preserve">Presenting author details </w:t>
      </w:r>
    </w:p>
    <w:p w14:paraId="2523AA0A" w14:textId="62CAB639" w:rsidR="00F046EA" w:rsidRPr="0013708E" w:rsidRDefault="00F046EA" w:rsidP="00F046EA">
      <w:pPr>
        <w:jc w:val="both"/>
      </w:pPr>
      <w:r w:rsidRPr="0013708E">
        <w:t xml:space="preserve">Full name: </w:t>
      </w:r>
      <w:r w:rsidR="008C7FFE">
        <w:t>Shaymaa Emam Kassab</w:t>
      </w:r>
    </w:p>
    <w:p w14:paraId="643F1194" w14:textId="30D75F99" w:rsidR="00F046EA" w:rsidRDefault="00F046EA" w:rsidP="00F046EA">
      <w:pPr>
        <w:jc w:val="both"/>
      </w:pPr>
      <w:r w:rsidRPr="0013708E">
        <w:t>Contact number:</w:t>
      </w:r>
      <w:r w:rsidR="008C7FFE">
        <w:t xml:space="preserve"> +201005267570</w:t>
      </w:r>
    </w:p>
    <w:p w14:paraId="629253B3" w14:textId="1A0FBF16" w:rsidR="00F046EA" w:rsidRPr="0013708E" w:rsidRDefault="00F046EA" w:rsidP="00F046EA">
      <w:pPr>
        <w:jc w:val="both"/>
      </w:pPr>
      <w:r>
        <w:t xml:space="preserve">Mail id: </w:t>
      </w:r>
      <w:r w:rsidR="008C7FFE" w:rsidRPr="008C7FFE">
        <w:t>Shaymaa.kassab@pharm.dmu.edu.eg</w:t>
      </w:r>
    </w:p>
    <w:p w14:paraId="22A1DA50" w14:textId="5E04D945" w:rsidR="00F046EA" w:rsidRDefault="00F046EA" w:rsidP="00F046EA">
      <w:pPr>
        <w:jc w:val="both"/>
      </w:pPr>
      <w:r w:rsidRPr="0013708E">
        <w:t>Category: (Oral presentation</w:t>
      </w:r>
      <w:r w:rsidR="00281457">
        <w:t>)</w:t>
      </w:r>
    </w:p>
    <w:p w14:paraId="3640F233" w14:textId="72922CA8"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DA81E" w14:textId="77777777" w:rsidR="00556F0A" w:rsidRDefault="00556F0A">
      <w:r>
        <w:separator/>
      </w:r>
    </w:p>
  </w:endnote>
  <w:endnote w:type="continuationSeparator" w:id="0">
    <w:p w14:paraId="31B9B471" w14:textId="77777777" w:rsidR="00556F0A" w:rsidRDefault="00556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C86F9"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5B49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ABD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74254" w14:textId="77777777" w:rsidR="00556F0A" w:rsidRDefault="00556F0A">
      <w:r>
        <w:separator/>
      </w:r>
    </w:p>
  </w:footnote>
  <w:footnote w:type="continuationSeparator" w:id="0">
    <w:p w14:paraId="3CA41F15" w14:textId="77777777" w:rsidR="00556F0A" w:rsidRDefault="00556F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AC43F4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75159457">
    <w:abstractNumId w:val="0"/>
  </w:num>
  <w:num w:numId="2" w16cid:durableId="1080836783">
    <w:abstractNumId w:val="1"/>
  </w:num>
  <w:num w:numId="3" w16cid:durableId="1843275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4CFF"/>
    <w:rsid w:val="000E2911"/>
    <w:rsid w:val="001263DF"/>
    <w:rsid w:val="00281457"/>
    <w:rsid w:val="00292ED9"/>
    <w:rsid w:val="002B2721"/>
    <w:rsid w:val="0033537F"/>
    <w:rsid w:val="00351D9B"/>
    <w:rsid w:val="00380299"/>
    <w:rsid w:val="003B6E9A"/>
    <w:rsid w:val="00404E5B"/>
    <w:rsid w:val="00414F7B"/>
    <w:rsid w:val="004355DC"/>
    <w:rsid w:val="004749B4"/>
    <w:rsid w:val="00494130"/>
    <w:rsid w:val="004F3523"/>
    <w:rsid w:val="00556F0A"/>
    <w:rsid w:val="005973B9"/>
    <w:rsid w:val="005B3A56"/>
    <w:rsid w:val="006060CE"/>
    <w:rsid w:val="0061505C"/>
    <w:rsid w:val="0063497F"/>
    <w:rsid w:val="00714354"/>
    <w:rsid w:val="00862150"/>
    <w:rsid w:val="00873DF0"/>
    <w:rsid w:val="008756E6"/>
    <w:rsid w:val="00897EC5"/>
    <w:rsid w:val="008C7FFE"/>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 w:val="00FE1DB8"/>
    <w:rsid w:val="00FF7DF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FBAE0"/>
  <w15:docId w15:val="{0070064B-944E-429E-95B5-C501E6E71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81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4842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021791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87835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Shaymaa Kassab</cp:lastModifiedBy>
  <cp:revision>2</cp:revision>
  <dcterms:created xsi:type="dcterms:W3CDTF">2023-02-09T18:47:00Z</dcterms:created>
  <dcterms:modified xsi:type="dcterms:W3CDTF">2023-02-09T18:47:00Z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