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0A" w:rsidRPr="00771BC0" w:rsidRDefault="00771BC0" w:rsidP="00771BC0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771BC0">
        <w:rPr>
          <w:rFonts w:ascii="Times New Roman" w:hAnsi="Times New Roman" w:cs="Times New Roman"/>
          <w:b/>
          <w:sz w:val="28"/>
          <w:szCs w:val="24"/>
        </w:rPr>
        <w:t xml:space="preserve">Fruiting body specific sc4 </w:t>
      </w:r>
      <w:proofErr w:type="spellStart"/>
      <w:r w:rsidRPr="00771BC0">
        <w:rPr>
          <w:rFonts w:ascii="Times New Roman" w:hAnsi="Times New Roman" w:cs="Times New Roman"/>
          <w:b/>
          <w:sz w:val="28"/>
          <w:szCs w:val="24"/>
        </w:rPr>
        <w:t>hydrophobin</w:t>
      </w:r>
      <w:proofErr w:type="spellEnd"/>
      <w:r w:rsidRPr="00771BC0">
        <w:rPr>
          <w:rFonts w:ascii="Times New Roman" w:hAnsi="Times New Roman" w:cs="Times New Roman"/>
          <w:b/>
          <w:sz w:val="28"/>
          <w:szCs w:val="24"/>
        </w:rPr>
        <w:t xml:space="preserve"> gene plays a role in </w:t>
      </w:r>
      <w:proofErr w:type="spellStart"/>
      <w:r w:rsidRPr="00771BC0">
        <w:rPr>
          <w:rFonts w:ascii="Times New Roman" w:hAnsi="Times New Roman" w:cs="Times New Roman"/>
          <w:b/>
          <w:i/>
          <w:sz w:val="28"/>
          <w:szCs w:val="24"/>
        </w:rPr>
        <w:t>Schizophyllum</w:t>
      </w:r>
      <w:proofErr w:type="spellEnd"/>
      <w:r w:rsidRPr="00771BC0">
        <w:rPr>
          <w:rFonts w:ascii="Times New Roman" w:hAnsi="Times New Roman" w:cs="Times New Roman"/>
          <w:b/>
          <w:i/>
          <w:sz w:val="28"/>
          <w:szCs w:val="24"/>
        </w:rPr>
        <w:t xml:space="preserve"> commune</w:t>
      </w:r>
      <w:r w:rsidRPr="00771BC0">
        <w:rPr>
          <w:rFonts w:ascii="Times New Roman" w:hAnsi="Times New Roman" w:cs="Times New Roman"/>
          <w:b/>
          <w:sz w:val="28"/>
          <w:szCs w:val="24"/>
        </w:rPr>
        <w:t xml:space="preserve"> hyphal attachment to structured glass surfaces</w:t>
      </w:r>
    </w:p>
    <w:p w:rsidR="00771BC0" w:rsidRPr="00771BC0" w:rsidRDefault="00771BC0" w:rsidP="00771B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BC0">
        <w:rPr>
          <w:rFonts w:ascii="Times New Roman" w:hAnsi="Times New Roman" w:cs="Times New Roman"/>
          <w:b/>
          <w:sz w:val="24"/>
          <w:szCs w:val="24"/>
        </w:rPr>
        <w:t xml:space="preserve">Evans </w:t>
      </w:r>
      <w:proofErr w:type="spellStart"/>
      <w:r w:rsidRPr="00771BC0">
        <w:rPr>
          <w:rFonts w:ascii="Times New Roman" w:hAnsi="Times New Roman" w:cs="Times New Roman"/>
          <w:b/>
          <w:sz w:val="24"/>
          <w:szCs w:val="24"/>
        </w:rPr>
        <w:t>Iyamu</w:t>
      </w:r>
      <w:proofErr w:type="spellEnd"/>
      <w:r w:rsidRPr="00771BC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71BC0">
        <w:rPr>
          <w:rFonts w:ascii="Times New Roman" w:hAnsi="Times New Roman" w:cs="Times New Roman"/>
          <w:b/>
          <w:sz w:val="24"/>
          <w:szCs w:val="24"/>
        </w:rPr>
        <w:t>Katrin</w:t>
      </w:r>
      <w:proofErr w:type="spellEnd"/>
      <w:r w:rsidRPr="00771BC0">
        <w:rPr>
          <w:rFonts w:ascii="Times New Roman" w:hAnsi="Times New Roman" w:cs="Times New Roman"/>
          <w:b/>
          <w:sz w:val="24"/>
          <w:szCs w:val="24"/>
        </w:rPr>
        <w:t xml:space="preserve"> Krause </w:t>
      </w:r>
      <w:r w:rsidRPr="00771BC0">
        <w:rPr>
          <w:rFonts w:ascii="Times New Roman" w:hAnsi="Times New Roman" w:cs="Times New Roman"/>
          <w:sz w:val="24"/>
          <w:szCs w:val="24"/>
        </w:rPr>
        <w:t>and</w:t>
      </w:r>
      <w:r w:rsidRPr="00771BC0">
        <w:rPr>
          <w:rFonts w:ascii="Times New Roman" w:hAnsi="Times New Roman" w:cs="Times New Roman"/>
          <w:b/>
          <w:sz w:val="24"/>
          <w:szCs w:val="24"/>
        </w:rPr>
        <w:t xml:space="preserve"> Erika </w:t>
      </w:r>
      <w:proofErr w:type="spellStart"/>
      <w:r w:rsidRPr="00771BC0">
        <w:rPr>
          <w:rFonts w:ascii="Times New Roman" w:hAnsi="Times New Roman" w:cs="Times New Roman"/>
          <w:b/>
          <w:sz w:val="24"/>
          <w:szCs w:val="24"/>
        </w:rPr>
        <w:t>Kothe</w:t>
      </w:r>
      <w:proofErr w:type="spellEnd"/>
    </w:p>
    <w:p w:rsidR="00771BC0" w:rsidRPr="00771BC0" w:rsidRDefault="00771BC0" w:rsidP="00771BC0">
      <w:pPr>
        <w:jc w:val="both"/>
        <w:rPr>
          <w:rFonts w:ascii="Times New Roman" w:hAnsi="Times New Roman" w:cs="Times New Roman"/>
          <w:sz w:val="24"/>
          <w:szCs w:val="24"/>
        </w:rPr>
      </w:pPr>
      <w:r w:rsidRPr="00771BC0">
        <w:rPr>
          <w:rFonts w:ascii="Times New Roman" w:hAnsi="Times New Roman" w:cs="Times New Roman"/>
          <w:sz w:val="24"/>
          <w:szCs w:val="24"/>
        </w:rPr>
        <w:t>Friedrich Schiller University Jena, Institute of Microbiology, Microbial</w:t>
      </w:r>
      <w:r w:rsidRPr="00771BC0">
        <w:rPr>
          <w:rFonts w:ascii="Times New Roman" w:hAnsi="Times New Roman" w:cs="Times New Roman"/>
          <w:sz w:val="24"/>
          <w:szCs w:val="24"/>
        </w:rPr>
        <w:t xml:space="preserve"> </w:t>
      </w:r>
      <w:r w:rsidRPr="00771BC0">
        <w:rPr>
          <w:rFonts w:ascii="Times New Roman" w:hAnsi="Times New Roman" w:cs="Times New Roman"/>
          <w:sz w:val="24"/>
          <w:szCs w:val="24"/>
        </w:rPr>
        <w:t>Communication, Jena</w:t>
      </w:r>
      <w:r w:rsidRPr="00771BC0">
        <w:rPr>
          <w:rFonts w:ascii="Times New Roman" w:hAnsi="Times New Roman" w:cs="Times New Roman"/>
          <w:sz w:val="24"/>
          <w:szCs w:val="24"/>
        </w:rPr>
        <w:t xml:space="preserve">, </w:t>
      </w:r>
      <w:r w:rsidRPr="00771BC0">
        <w:rPr>
          <w:rFonts w:ascii="Times New Roman" w:hAnsi="Times New Roman" w:cs="Times New Roman"/>
          <w:sz w:val="24"/>
          <w:szCs w:val="24"/>
        </w:rPr>
        <w:t>Germany</w:t>
      </w:r>
    </w:p>
    <w:p w:rsidR="00771BC0" w:rsidRPr="00771BC0" w:rsidRDefault="00771BC0" w:rsidP="00771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1BC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71BC0" w:rsidRPr="00771BC0" w:rsidRDefault="00771BC0" w:rsidP="00771BC0">
      <w:pPr>
        <w:jc w:val="both"/>
        <w:rPr>
          <w:rFonts w:ascii="Times New Roman" w:hAnsi="Times New Roman" w:cs="Times New Roman"/>
          <w:sz w:val="24"/>
          <w:szCs w:val="24"/>
        </w:rPr>
      </w:pPr>
      <w:r w:rsidRPr="00771BC0">
        <w:rPr>
          <w:rFonts w:ascii="Times New Roman" w:hAnsi="Times New Roman" w:cs="Times New Roman"/>
          <w:sz w:val="24"/>
          <w:szCs w:val="24"/>
        </w:rPr>
        <w:t xml:space="preserve">Genes encoding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hydrophobins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 play distinct roles at different stages of the life cycle of fungi, and they foster hyphal attachment to surfaces. The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hydrophobin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 Sc4 is known to provide a hydrophobic membrane lining of the gas channels within </w:t>
      </w:r>
      <w:proofErr w:type="spellStart"/>
      <w:r w:rsidRPr="00E67AD5">
        <w:rPr>
          <w:rFonts w:ascii="Times New Roman" w:hAnsi="Times New Roman" w:cs="Times New Roman"/>
          <w:i/>
          <w:sz w:val="24"/>
          <w:szCs w:val="24"/>
        </w:rPr>
        <w:t>Schizophyllum</w:t>
      </w:r>
      <w:proofErr w:type="spellEnd"/>
      <w:r w:rsidRPr="00E67AD5">
        <w:rPr>
          <w:rFonts w:ascii="Times New Roman" w:hAnsi="Times New Roman" w:cs="Times New Roman"/>
          <w:i/>
          <w:sz w:val="24"/>
          <w:szCs w:val="24"/>
        </w:rPr>
        <w:t xml:space="preserve"> commune</w:t>
      </w:r>
      <w:r w:rsidRPr="00771BC0">
        <w:rPr>
          <w:rFonts w:ascii="Times New Roman" w:hAnsi="Times New Roman" w:cs="Times New Roman"/>
          <w:sz w:val="24"/>
          <w:szCs w:val="24"/>
        </w:rPr>
        <w:t xml:space="preserve"> fruiting bodies. Here, we cultivated non-fruiting,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monokaryotic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 </w:t>
      </w:r>
      <w:r w:rsidRPr="00E67AD5">
        <w:rPr>
          <w:rFonts w:ascii="Times New Roman" w:hAnsi="Times New Roman" w:cs="Times New Roman"/>
          <w:i/>
          <w:sz w:val="24"/>
          <w:szCs w:val="24"/>
        </w:rPr>
        <w:t>S. commune</w:t>
      </w:r>
      <w:r w:rsidRPr="00771BC0">
        <w:rPr>
          <w:rFonts w:ascii="Times New Roman" w:hAnsi="Times New Roman" w:cs="Times New Roman"/>
          <w:sz w:val="24"/>
          <w:szCs w:val="24"/>
        </w:rPr>
        <w:t xml:space="preserve"> 12-43 on glass surfaces that could be verified by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micrography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>. Differential gene expression</w:t>
      </w:r>
      <w:bookmarkStart w:id="0" w:name="_GoBack"/>
      <w:bookmarkEnd w:id="0"/>
      <w:r w:rsidRPr="00771BC0">
        <w:rPr>
          <w:rFonts w:ascii="Times New Roman" w:hAnsi="Times New Roman" w:cs="Times New Roman"/>
          <w:sz w:val="24"/>
          <w:szCs w:val="24"/>
        </w:rPr>
        <w:t xml:space="preserve"> profiling of nine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hydrophobin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 genes and the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hydrophobin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-like sc15 gene by quantitative PCR showed significant upregulation of sc4 when </w:t>
      </w:r>
      <w:r w:rsidRPr="00E67AD5">
        <w:rPr>
          <w:rFonts w:ascii="Times New Roman" w:hAnsi="Times New Roman" w:cs="Times New Roman"/>
          <w:i/>
          <w:sz w:val="24"/>
          <w:szCs w:val="24"/>
        </w:rPr>
        <w:t>S. commune</w:t>
      </w:r>
      <w:r w:rsidRPr="00771BC0">
        <w:rPr>
          <w:rFonts w:ascii="Times New Roman" w:hAnsi="Times New Roman" w:cs="Times New Roman"/>
          <w:sz w:val="24"/>
          <w:szCs w:val="24"/>
        </w:rPr>
        <w:t xml:space="preserve"> was attaching to glass surfaces, confirmed also with RNA-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 data analysis. Another silicate, namely quartz sand, was investigated, and induction of sc4 was seen as well. The up-regulation of the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hydrophobin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 gene sc4 may indicate involvement in </w:t>
      </w:r>
      <w:r w:rsidRPr="00E67AD5">
        <w:rPr>
          <w:rFonts w:ascii="Times New Roman" w:hAnsi="Times New Roman" w:cs="Times New Roman"/>
          <w:i/>
          <w:sz w:val="24"/>
          <w:szCs w:val="24"/>
        </w:rPr>
        <w:t>S. commune</w:t>
      </w:r>
      <w:r w:rsidRPr="00771BC0">
        <w:rPr>
          <w:rFonts w:ascii="Times New Roman" w:hAnsi="Times New Roman" w:cs="Times New Roman"/>
          <w:sz w:val="24"/>
          <w:szCs w:val="24"/>
        </w:rPr>
        <w:t xml:space="preserve"> hyphal attachment to glass as well as quartz surfaces. We propose that the covering of hyphae by Sc4 allows for direct interaction with the hydrophobic surfaces of </w:t>
      </w:r>
      <w:proofErr w:type="gramStart"/>
      <w:r w:rsidRPr="00771BC0">
        <w:rPr>
          <w:rFonts w:ascii="Times New Roman" w:hAnsi="Times New Roman" w:cs="Times New Roman"/>
          <w:sz w:val="24"/>
          <w:szCs w:val="24"/>
        </w:rPr>
        <w:t>silicates,</w:t>
      </w:r>
      <w:proofErr w:type="gramEnd"/>
      <w:r w:rsidRPr="00771BC0">
        <w:rPr>
          <w:rFonts w:ascii="Times New Roman" w:hAnsi="Times New Roman" w:cs="Times New Roman"/>
          <w:sz w:val="24"/>
          <w:szCs w:val="24"/>
        </w:rPr>
        <w:t xml:space="preserve"> and that differential functions of specific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hydrophobin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 genes is depending on the surface interface involved. This study could help with the clarification of the biological functions of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hydrophobins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 in natural surroundings, including hydrophobic surface attachment. Therefore, the analysis of growth on glass serves as a basis for understanding </w:t>
      </w:r>
      <w:r w:rsidRPr="00E67AD5">
        <w:rPr>
          <w:rFonts w:ascii="Times New Roman" w:hAnsi="Times New Roman" w:cs="Times New Roman"/>
          <w:i/>
          <w:sz w:val="24"/>
          <w:szCs w:val="24"/>
        </w:rPr>
        <w:t>S. commune</w:t>
      </w:r>
      <w:r w:rsidRPr="00771BC0">
        <w:rPr>
          <w:rFonts w:ascii="Times New Roman" w:hAnsi="Times New Roman" w:cs="Times New Roman"/>
          <w:sz w:val="24"/>
          <w:szCs w:val="24"/>
        </w:rPr>
        <w:t xml:space="preserve"> interaction with glass surfaces while providing the possibility to visualize the interaction microscopically. </w:t>
      </w:r>
    </w:p>
    <w:p w:rsidR="00771BC0" w:rsidRDefault="00771BC0" w:rsidP="00771BC0">
      <w:pPr>
        <w:jc w:val="both"/>
        <w:rPr>
          <w:rFonts w:ascii="Times New Roman" w:hAnsi="Times New Roman" w:cs="Times New Roman"/>
          <w:sz w:val="24"/>
          <w:szCs w:val="24"/>
        </w:rPr>
      </w:pPr>
      <w:r w:rsidRPr="00771BC0">
        <w:rPr>
          <w:rFonts w:ascii="Times New Roman" w:hAnsi="Times New Roman" w:cs="Times New Roman"/>
          <w:b/>
          <w:sz w:val="24"/>
          <w:szCs w:val="24"/>
        </w:rPr>
        <w:t>Keywords:</w:t>
      </w:r>
      <w:r w:rsidRPr="00771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hydrophobin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>, structured glass surfaces, differential gene expression, quartz sand</w:t>
      </w:r>
    </w:p>
    <w:p w:rsidR="00771BC0" w:rsidRDefault="00771BC0" w:rsidP="00771BC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BC0" w:rsidRDefault="00771BC0" w:rsidP="00771B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BC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771BC0" w:rsidRPr="00771BC0" w:rsidRDefault="00771BC0" w:rsidP="00771BC0">
      <w:pPr>
        <w:jc w:val="both"/>
        <w:rPr>
          <w:rFonts w:ascii="Times New Roman" w:hAnsi="Times New Roman" w:cs="Times New Roman"/>
          <w:sz w:val="24"/>
          <w:szCs w:val="24"/>
        </w:rPr>
      </w:pPr>
      <w:r w:rsidRPr="00771BC0">
        <w:rPr>
          <w:rFonts w:ascii="Times New Roman" w:hAnsi="Times New Roman" w:cs="Times New Roman"/>
          <w:sz w:val="24"/>
          <w:szCs w:val="24"/>
        </w:rPr>
        <w:t xml:space="preserve">Evans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Iyamu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1BC0">
        <w:rPr>
          <w:rFonts w:ascii="Times New Roman" w:hAnsi="Times New Roman" w:cs="Times New Roman"/>
          <w:sz w:val="24"/>
          <w:szCs w:val="24"/>
        </w:rPr>
        <w:t>Katrin</w:t>
      </w:r>
      <w:proofErr w:type="spellEnd"/>
      <w:r w:rsidRPr="00771BC0">
        <w:rPr>
          <w:rFonts w:ascii="Times New Roman" w:hAnsi="Times New Roman" w:cs="Times New Roman"/>
          <w:sz w:val="24"/>
          <w:szCs w:val="24"/>
        </w:rPr>
        <w:t xml:space="preserve"> Krause </w:t>
      </w:r>
      <w:r>
        <w:rPr>
          <w:rFonts w:ascii="Times New Roman" w:hAnsi="Times New Roman" w:cs="Times New Roman"/>
          <w:sz w:val="24"/>
          <w:szCs w:val="24"/>
        </w:rPr>
        <w:t xml:space="preserve">is affiliated to the </w:t>
      </w:r>
      <w:r w:rsidRPr="00771BC0">
        <w:rPr>
          <w:rFonts w:ascii="Times New Roman" w:hAnsi="Times New Roman" w:cs="Times New Roman"/>
          <w:sz w:val="24"/>
          <w:szCs w:val="24"/>
        </w:rPr>
        <w:t xml:space="preserve">Friedrich Schiller University Jena, Institute of Microbiology, Microbial Communication, </w:t>
      </w:r>
      <w:proofErr w:type="gramStart"/>
      <w:r w:rsidRPr="00771BC0">
        <w:rPr>
          <w:rFonts w:ascii="Times New Roman" w:hAnsi="Times New Roman" w:cs="Times New Roman"/>
          <w:sz w:val="24"/>
          <w:szCs w:val="24"/>
        </w:rPr>
        <w:t>Jena</w:t>
      </w:r>
      <w:proofErr w:type="gramEnd"/>
      <w:r w:rsidRPr="00771BC0">
        <w:rPr>
          <w:rFonts w:ascii="Times New Roman" w:hAnsi="Times New Roman" w:cs="Times New Roman"/>
          <w:sz w:val="24"/>
          <w:szCs w:val="24"/>
        </w:rPr>
        <w:t>, Germany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771BC0" w:rsidRPr="00771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8ED"/>
    <w:rsid w:val="005B740A"/>
    <w:rsid w:val="00771BC0"/>
    <w:rsid w:val="00BA68ED"/>
    <w:rsid w:val="00E6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 World Chemistry 2021</dc:creator>
  <cp:keywords/>
  <dc:description/>
  <cp:lastModifiedBy>Conference World Chemistry 2021</cp:lastModifiedBy>
  <cp:revision>2</cp:revision>
  <dcterms:created xsi:type="dcterms:W3CDTF">2023-02-08T05:35:00Z</dcterms:created>
  <dcterms:modified xsi:type="dcterms:W3CDTF">2023-02-08T06:05:00Z</dcterms:modified>
</cp:coreProperties>
</file>