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2276B2" w14:textId="5DA2F5BE" w:rsidR="00595A2D" w:rsidRPr="00E8148C" w:rsidRDefault="00810D87" w:rsidP="00B26A8F">
      <w:pPr>
        <w:keepNext/>
        <w:keepLines/>
        <w:spacing w:before="240" w:after="0"/>
        <w:outlineLvl w:val="0"/>
        <w:rPr>
          <w:rFonts w:ascii="Times New Roman" w:eastAsiaTheme="majorEastAsia" w:hAnsi="Times New Roman" w:cs="Times New Roman"/>
          <w:b/>
          <w:bCs/>
        </w:rPr>
      </w:pPr>
      <w:bookmarkStart w:id="0" w:name="_Toc80790667"/>
      <w:bookmarkStart w:id="1" w:name="_Hlk118029729"/>
      <w:bookmarkStart w:id="2" w:name="_GoBack"/>
      <w:bookmarkEnd w:id="2"/>
      <w:r w:rsidRPr="00E8148C">
        <w:rPr>
          <w:rFonts w:ascii="Times New Roman" w:eastAsiaTheme="majorEastAsia" w:hAnsi="Times New Roman" w:cs="Times New Roman"/>
          <w:b/>
          <w:bCs/>
        </w:rPr>
        <w:t xml:space="preserve">An Audit of Visual outcomes following cataract surgery  </w:t>
      </w:r>
      <w:r w:rsidR="00595A2D" w:rsidRPr="00E8148C">
        <w:rPr>
          <w:rFonts w:ascii="Times New Roman" w:eastAsiaTheme="majorEastAsia" w:hAnsi="Times New Roman" w:cs="Times New Roman"/>
          <w:b/>
          <w:bCs/>
        </w:rPr>
        <w:t xml:space="preserve">in </w:t>
      </w:r>
      <w:r w:rsidR="00BA0F43" w:rsidRPr="00E8148C">
        <w:rPr>
          <w:rFonts w:ascii="Times New Roman" w:eastAsiaTheme="majorEastAsia" w:hAnsi="Times New Roman" w:cs="Times New Roman"/>
          <w:b/>
          <w:bCs/>
        </w:rPr>
        <w:t xml:space="preserve">Southern </w:t>
      </w:r>
      <w:r w:rsidR="00595A2D" w:rsidRPr="00E8148C">
        <w:rPr>
          <w:rFonts w:ascii="Times New Roman" w:eastAsiaTheme="majorEastAsia" w:hAnsi="Times New Roman" w:cs="Times New Roman"/>
          <w:b/>
          <w:bCs/>
        </w:rPr>
        <w:t>Karamoja</w:t>
      </w:r>
    </w:p>
    <w:p w14:paraId="411417AD" w14:textId="489EAC4C" w:rsidR="00B26A8F" w:rsidRPr="00E8148C" w:rsidRDefault="0063696B" w:rsidP="00B26A8F">
      <w:pPr>
        <w:keepNext/>
        <w:keepLines/>
        <w:spacing w:before="240" w:after="0"/>
        <w:outlineLvl w:val="0"/>
        <w:rPr>
          <w:rFonts w:ascii="Times New Roman" w:eastAsiaTheme="majorEastAsia" w:hAnsi="Times New Roman" w:cs="Times New Roman"/>
          <w:b/>
          <w:bCs/>
        </w:rPr>
      </w:pPr>
      <w:r w:rsidRPr="00E8148C">
        <w:rPr>
          <w:rFonts w:ascii="Times New Roman" w:eastAsiaTheme="majorEastAsia" w:hAnsi="Times New Roman" w:cs="Times New Roman"/>
          <w:b/>
          <w:bCs/>
        </w:rPr>
        <w:t>Atto G</w:t>
      </w:r>
      <w:r w:rsidR="007C7C9E" w:rsidRPr="00E8148C">
        <w:rPr>
          <w:rFonts w:ascii="Times New Roman" w:eastAsiaTheme="majorEastAsia" w:hAnsi="Times New Roman" w:cs="Times New Roman"/>
          <w:b/>
          <w:bCs/>
        </w:rPr>
        <w:t>LADYS</w:t>
      </w:r>
      <w:bookmarkEnd w:id="0"/>
      <w:r w:rsidR="007C7C9E" w:rsidRPr="00E8148C">
        <w:rPr>
          <w:rFonts w:ascii="Times New Roman" w:eastAsiaTheme="majorEastAsia" w:hAnsi="Times New Roman" w:cs="Times New Roman"/>
          <w:b/>
          <w:bCs/>
        </w:rPr>
        <w:t>, Moroto Regional Referral Hospital, Uganda</w:t>
      </w:r>
    </w:p>
    <w:bookmarkEnd w:id="1"/>
    <w:p w14:paraId="3ADD2030" w14:textId="1AEE1C6D" w:rsidR="00B26A8F" w:rsidRPr="00E8148C" w:rsidRDefault="00B26A8F" w:rsidP="00B26A8F">
      <w:pPr>
        <w:rPr>
          <w:rFonts w:ascii="Times New Roman" w:hAnsi="Times New Roman" w:cs="Times New Roman"/>
          <w:b/>
          <w:bCs/>
        </w:rPr>
      </w:pPr>
    </w:p>
    <w:p w14:paraId="62DF3068" w14:textId="77777777" w:rsidR="007C7C9E" w:rsidRPr="00E8148C" w:rsidRDefault="007C7C9E" w:rsidP="00595A2D">
      <w:pPr>
        <w:jc w:val="both"/>
        <w:rPr>
          <w:rFonts w:ascii="Times New Roman" w:hAnsi="Times New Roman" w:cs="Times New Roman"/>
          <w:b/>
          <w:bCs/>
        </w:rPr>
        <w:sectPr w:rsidR="007C7C9E" w:rsidRPr="00E8148C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471889C0" w14:textId="698ABA34" w:rsidR="00595A2D" w:rsidRPr="00E8148C" w:rsidRDefault="007C7C9E" w:rsidP="00595A2D">
      <w:pPr>
        <w:jc w:val="both"/>
        <w:rPr>
          <w:rFonts w:ascii="Times New Roman" w:hAnsi="Times New Roman" w:cs="Times New Roman"/>
        </w:rPr>
      </w:pPr>
      <w:r w:rsidRPr="00E8148C">
        <w:rPr>
          <w:rFonts w:ascii="Times New Roman" w:hAnsi="Times New Roman" w:cs="Times New Roman"/>
          <w:b/>
          <w:bCs/>
        </w:rPr>
        <w:lastRenderedPageBreak/>
        <w:t>Problem statement:</w:t>
      </w:r>
      <w:r w:rsidRPr="00E8148C">
        <w:rPr>
          <w:rFonts w:ascii="Times New Roman" w:hAnsi="Times New Roman" w:cs="Times New Roman"/>
        </w:rPr>
        <w:t xml:space="preserve"> Biometry is crucial for good outcomes. Only 20% of patients undergoing cataract surgery in Karamoja subregion were having biometry done.</w:t>
      </w:r>
    </w:p>
    <w:p w14:paraId="00EA1FFD" w14:textId="6671997E" w:rsidR="00B26A8F" w:rsidRPr="00E8148C" w:rsidRDefault="00B26A8F" w:rsidP="007C7C9E">
      <w:pPr>
        <w:rPr>
          <w:rFonts w:ascii="Times New Roman" w:hAnsi="Times New Roman" w:cs="Times New Roman"/>
          <w:b/>
          <w:bCs/>
        </w:rPr>
      </w:pPr>
      <w:r w:rsidRPr="00E8148C">
        <w:rPr>
          <w:rFonts w:ascii="Times New Roman" w:hAnsi="Times New Roman" w:cs="Times New Roman"/>
          <w:b/>
          <w:bCs/>
        </w:rPr>
        <w:t>Methods</w:t>
      </w:r>
      <w:r w:rsidR="007C7C9E" w:rsidRPr="00E8148C">
        <w:rPr>
          <w:rFonts w:ascii="Times New Roman" w:hAnsi="Times New Roman" w:cs="Times New Roman"/>
          <w:b/>
          <w:bCs/>
        </w:rPr>
        <w:t xml:space="preserve">: </w:t>
      </w:r>
      <w:r w:rsidRPr="00E8148C">
        <w:rPr>
          <w:rFonts w:ascii="Times New Roman" w:hAnsi="Times New Roman" w:cs="Times New Roman"/>
        </w:rPr>
        <w:t xml:space="preserve">We collected secondary data on </w:t>
      </w:r>
      <w:r w:rsidR="00BA0F43" w:rsidRPr="00E8148C">
        <w:rPr>
          <w:rFonts w:ascii="Times New Roman" w:hAnsi="Times New Roman" w:cs="Times New Roman"/>
        </w:rPr>
        <w:t xml:space="preserve">Snellen </w:t>
      </w:r>
      <w:r w:rsidR="00810D87" w:rsidRPr="00E8148C">
        <w:rPr>
          <w:rFonts w:ascii="Times New Roman" w:hAnsi="Times New Roman" w:cs="Times New Roman"/>
        </w:rPr>
        <w:t>visual acuity pre and post operatively</w:t>
      </w:r>
      <w:r w:rsidR="000802C4" w:rsidRPr="00E8148C">
        <w:rPr>
          <w:rFonts w:ascii="Times New Roman" w:hAnsi="Times New Roman" w:cs="Times New Roman"/>
        </w:rPr>
        <w:t xml:space="preserve">, </w:t>
      </w:r>
      <w:r w:rsidR="00810D87" w:rsidRPr="00E8148C">
        <w:rPr>
          <w:rFonts w:ascii="Times New Roman" w:hAnsi="Times New Roman" w:cs="Times New Roman"/>
        </w:rPr>
        <w:t>and after one week follow up</w:t>
      </w:r>
      <w:r w:rsidRPr="00E8148C">
        <w:rPr>
          <w:rFonts w:ascii="Times New Roman" w:hAnsi="Times New Roman" w:cs="Times New Roman"/>
        </w:rPr>
        <w:t xml:space="preserve"> and </w:t>
      </w:r>
      <w:r w:rsidR="000802C4" w:rsidRPr="00E8148C">
        <w:rPr>
          <w:rFonts w:ascii="Times New Roman" w:hAnsi="Times New Roman" w:cs="Times New Roman"/>
        </w:rPr>
        <w:t xml:space="preserve">entered it into </w:t>
      </w:r>
      <w:r w:rsidR="007F1387" w:rsidRPr="00E8148C">
        <w:rPr>
          <w:rFonts w:ascii="Times New Roman" w:hAnsi="Times New Roman" w:cs="Times New Roman"/>
        </w:rPr>
        <w:t>Microsoft</w:t>
      </w:r>
      <w:r w:rsidR="000802C4" w:rsidRPr="00E8148C">
        <w:rPr>
          <w:rFonts w:ascii="Times New Roman" w:hAnsi="Times New Roman" w:cs="Times New Roman"/>
        </w:rPr>
        <w:t xml:space="preserve"> excel spreadsheet for</w:t>
      </w:r>
      <w:r w:rsidR="00BA0F43" w:rsidRPr="00E8148C">
        <w:rPr>
          <w:rFonts w:ascii="Times New Roman" w:hAnsi="Times New Roman" w:cs="Times New Roman"/>
        </w:rPr>
        <w:t xml:space="preserve"> analysis and presentation using tables</w:t>
      </w:r>
      <w:r w:rsidR="000802C4" w:rsidRPr="00E8148C">
        <w:rPr>
          <w:rFonts w:ascii="Times New Roman" w:hAnsi="Times New Roman" w:cs="Times New Roman"/>
        </w:rPr>
        <w:t xml:space="preserve">. </w:t>
      </w:r>
    </w:p>
    <w:p w14:paraId="25CD5895" w14:textId="327D1EA6" w:rsidR="00B27DBB" w:rsidRPr="00E8148C" w:rsidRDefault="00B26A8F" w:rsidP="00B27DBB">
      <w:pPr>
        <w:jc w:val="both"/>
        <w:rPr>
          <w:rFonts w:ascii="Times New Roman" w:hAnsi="Times New Roman" w:cs="Times New Roman"/>
          <w:b/>
          <w:bCs/>
        </w:rPr>
      </w:pPr>
      <w:r w:rsidRPr="00E8148C">
        <w:rPr>
          <w:rFonts w:ascii="Times New Roman" w:hAnsi="Times New Roman" w:cs="Times New Roman"/>
          <w:b/>
          <w:bCs/>
        </w:rPr>
        <w:t>Results</w:t>
      </w:r>
      <w:r w:rsidR="007C7C9E" w:rsidRPr="00E8148C">
        <w:rPr>
          <w:rFonts w:ascii="Times New Roman" w:hAnsi="Times New Roman" w:cs="Times New Roman"/>
          <w:b/>
          <w:bCs/>
        </w:rPr>
        <w:t xml:space="preserve">: </w:t>
      </w:r>
      <w:r w:rsidR="005A1E0C" w:rsidRPr="00E8148C">
        <w:rPr>
          <w:rFonts w:ascii="Times New Roman" w:hAnsi="Times New Roman" w:cs="Times New Roman"/>
        </w:rPr>
        <w:t xml:space="preserve">A </w:t>
      </w:r>
      <w:r w:rsidR="00B27DBB" w:rsidRPr="00E8148C">
        <w:rPr>
          <w:rFonts w:ascii="Times New Roman" w:hAnsi="Times New Roman" w:cs="Times New Roman"/>
        </w:rPr>
        <w:t>total of 418 surgeries were carried out in the months of March, April, September, and October 2022 in Southern Karamoja. Of these, 252 (60.3%) were done with biometry and 166 (39.7%) using standard Intraocular lenses (IOLs). 167 (39.2%) of the patients were males and 251 (60.0%) were females. The age group ranged from 35-95.</w:t>
      </w:r>
    </w:p>
    <w:p w14:paraId="51CC1E79" w14:textId="77777777" w:rsidR="00B27DBB" w:rsidRPr="00E8148C" w:rsidRDefault="00B27DBB" w:rsidP="00B27DBB">
      <w:pPr>
        <w:jc w:val="both"/>
        <w:rPr>
          <w:rFonts w:ascii="Times New Roman" w:hAnsi="Times New Roman" w:cs="Times New Roman"/>
        </w:rPr>
      </w:pPr>
      <w:r w:rsidRPr="00E8148C">
        <w:rPr>
          <w:rFonts w:ascii="Times New Roman" w:hAnsi="Times New Roman" w:cs="Times New Roman"/>
        </w:rPr>
        <w:t>Of the 166 eyes operated using standard Intraocular lenses, 83 (50%), 71 (42.8%), and 12 (7.2%) had good, borderline, and poor outcomes respectively on the first postoperative day without correction. After one week, 140 (84.3%) were available for review while 21 (13%) were lost to follow-up. Of those reviewed, 90 (64.3%), 41 (29.3%), and 10 (7.1%) had good, borderline, and poor outcomes respectively.</w:t>
      </w:r>
    </w:p>
    <w:p w14:paraId="1EB9F9B3" w14:textId="77777777" w:rsidR="00B27DBB" w:rsidRPr="00E8148C" w:rsidRDefault="00B27DBB" w:rsidP="00B27DBB">
      <w:pPr>
        <w:jc w:val="both"/>
        <w:rPr>
          <w:rFonts w:ascii="Times New Roman" w:hAnsi="Times New Roman" w:cs="Times New Roman"/>
        </w:rPr>
      </w:pPr>
      <w:bookmarkStart w:id="3" w:name="_Hlk117869452"/>
      <w:r w:rsidRPr="00E8148C">
        <w:rPr>
          <w:rFonts w:ascii="Times New Roman" w:hAnsi="Times New Roman" w:cs="Times New Roman"/>
        </w:rPr>
        <w:t>Of the 252 eyes that had biometry done before surgery, 122 (48.4%), 103 (40.9%) and 27 (10.7%) had good, borderline, and poor outcomes respectively on the first postoperative day without correction. After correction with pinhole, 177 (70.2%), 49 (19.4%) and 26 (10.3%) had good, borderline, and poor outcomes respectively. 184 (73%) eyes were reviewed after one week while 68 (27.1%) were lost to follow-up.  Of the 184 reviewed, 140 (76.1.%), 39 (21.2%), and 4 (2.2%) had good, borderline, and poor outcomes respectively without correction.</w:t>
      </w:r>
    </w:p>
    <w:bookmarkEnd w:id="3"/>
    <w:p w14:paraId="636959D1" w14:textId="767A1890" w:rsidR="00B26A8F" w:rsidRPr="00E8148C" w:rsidRDefault="007C7C9E" w:rsidP="007C7C9E">
      <w:pPr>
        <w:rPr>
          <w:rFonts w:ascii="Times New Roman" w:hAnsi="Times New Roman" w:cs="Times New Roman"/>
          <w:b/>
          <w:bCs/>
        </w:rPr>
      </w:pPr>
      <w:r w:rsidRPr="00E8148C">
        <w:rPr>
          <w:rFonts w:ascii="Times New Roman" w:hAnsi="Times New Roman" w:cs="Times New Roman"/>
          <w:b/>
          <w:bCs/>
        </w:rPr>
        <w:lastRenderedPageBreak/>
        <w:t>Conclusion:</w:t>
      </w:r>
      <w:r w:rsidRPr="00E8148C">
        <w:rPr>
          <w:rFonts w:ascii="Times New Roman" w:eastAsia="Times New Roman" w:hAnsi="Times New Roman" w:cs="Times New Roman"/>
        </w:rPr>
        <w:t xml:space="preserve"> There</w:t>
      </w:r>
      <w:r w:rsidR="00B26A8F" w:rsidRPr="00E8148C">
        <w:rPr>
          <w:rFonts w:ascii="Times New Roman" w:eastAsia="Times New Roman" w:hAnsi="Times New Roman" w:cs="Times New Roman"/>
        </w:rPr>
        <w:t xml:space="preserve"> was an overall </w:t>
      </w:r>
      <w:r w:rsidR="00D15194" w:rsidRPr="00E8148C">
        <w:rPr>
          <w:rFonts w:ascii="Times New Roman" w:eastAsia="Times New Roman" w:hAnsi="Times New Roman" w:cs="Times New Roman"/>
        </w:rPr>
        <w:t xml:space="preserve">improvement in visual outcomes in eyes that had biometry done. </w:t>
      </w:r>
      <w:r w:rsidR="00B26A8F" w:rsidRPr="00E8148C">
        <w:rPr>
          <w:rFonts w:ascii="Times New Roman" w:eastAsia="Times New Roman" w:hAnsi="Times New Roman" w:cs="Times New Roman"/>
        </w:rPr>
        <w:t xml:space="preserve">The findings </w:t>
      </w:r>
      <w:r w:rsidR="00D15194" w:rsidRPr="00E8148C">
        <w:rPr>
          <w:rFonts w:ascii="Times New Roman" w:eastAsia="Times New Roman" w:hAnsi="Times New Roman" w:cs="Times New Roman"/>
        </w:rPr>
        <w:t>also</w:t>
      </w:r>
      <w:r w:rsidR="00B26A8F" w:rsidRPr="00E8148C">
        <w:rPr>
          <w:rFonts w:ascii="Times New Roman" w:eastAsia="Times New Roman" w:hAnsi="Times New Roman" w:cs="Times New Roman"/>
        </w:rPr>
        <w:t xml:space="preserve"> drew attention to the</w:t>
      </w:r>
      <w:r w:rsidR="00D15194" w:rsidRPr="00E8148C">
        <w:rPr>
          <w:rFonts w:ascii="Times New Roman" w:eastAsia="Times New Roman" w:hAnsi="Times New Roman" w:cs="Times New Roman"/>
        </w:rPr>
        <w:t xml:space="preserve"> difference in visual outcomes </w:t>
      </w:r>
      <w:r w:rsidR="00633F13" w:rsidRPr="00E8148C">
        <w:rPr>
          <w:rFonts w:ascii="Times New Roman" w:eastAsia="Times New Roman" w:hAnsi="Times New Roman" w:cs="Times New Roman"/>
        </w:rPr>
        <w:t>in the immediate postoperative period and after one week follow-up</w:t>
      </w:r>
      <w:r w:rsidR="00B27DBB" w:rsidRPr="00E8148C">
        <w:rPr>
          <w:rFonts w:ascii="Times New Roman" w:eastAsia="Times New Roman" w:hAnsi="Times New Roman" w:cs="Times New Roman"/>
        </w:rPr>
        <w:t xml:space="preserve"> with the latter probably due to improvement in postoperative pain and adjustment to the intraocular lens</w:t>
      </w:r>
      <w:r w:rsidR="00633F13" w:rsidRPr="00E8148C">
        <w:rPr>
          <w:rFonts w:ascii="Times New Roman" w:eastAsia="Times New Roman" w:hAnsi="Times New Roman" w:cs="Times New Roman"/>
        </w:rPr>
        <w:t xml:space="preserve">. </w:t>
      </w:r>
      <w:r w:rsidR="00B26A8F" w:rsidRPr="00E8148C">
        <w:rPr>
          <w:rFonts w:ascii="Times New Roman" w:eastAsia="Times New Roman" w:hAnsi="Times New Roman" w:cs="Times New Roman"/>
        </w:rPr>
        <w:t xml:space="preserve"> </w:t>
      </w:r>
    </w:p>
    <w:p w14:paraId="4EE1AF1E" w14:textId="77777777" w:rsidR="004620E9" w:rsidRPr="00E8148C" w:rsidRDefault="004620E9" w:rsidP="00B26A8F">
      <w:pPr>
        <w:tabs>
          <w:tab w:val="left" w:pos="930"/>
        </w:tabs>
        <w:jc w:val="both"/>
        <w:rPr>
          <w:rFonts w:ascii="Times New Roman" w:eastAsia="Times New Roman" w:hAnsi="Times New Roman" w:cs="Times New Roman"/>
          <w:b/>
          <w:bCs/>
        </w:rPr>
      </w:pPr>
    </w:p>
    <w:p w14:paraId="2047D637" w14:textId="6E4BF9A8" w:rsidR="004620E9" w:rsidRPr="00E8148C" w:rsidRDefault="00E8148C" w:rsidP="00B26A8F">
      <w:pPr>
        <w:tabs>
          <w:tab w:val="left" w:pos="930"/>
        </w:tabs>
        <w:jc w:val="both"/>
        <w:rPr>
          <w:rFonts w:ascii="Times New Roman" w:eastAsia="Times New Roman" w:hAnsi="Times New Roman" w:cs="Times New Roman"/>
          <w:b/>
          <w:bCs/>
        </w:rPr>
      </w:pPr>
      <w:r w:rsidRPr="00E8148C">
        <w:rPr>
          <w:noProof/>
          <w:sz w:val="20"/>
          <w:szCs w:val="20"/>
          <w:lang w:val="en-IN" w:eastAsia="en-IN"/>
        </w:rPr>
        <w:drawing>
          <wp:inline distT="0" distB="0" distL="0" distR="0" wp14:anchorId="73B5920C" wp14:editId="4DB37B28">
            <wp:extent cx="3302000" cy="1447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8433" t="25072" r="13314" b="12042"/>
                    <a:stretch/>
                  </pic:blipFill>
                  <pic:spPr bwMode="auto">
                    <a:xfrm>
                      <a:off x="0" y="0"/>
                      <a:ext cx="3302000" cy="144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C1C0B1" w14:textId="43062093" w:rsidR="004620E9" w:rsidRPr="00E8148C" w:rsidRDefault="00E8148C" w:rsidP="00B26A8F">
      <w:pPr>
        <w:tabs>
          <w:tab w:val="left" w:pos="930"/>
        </w:tabs>
        <w:jc w:val="both"/>
        <w:rPr>
          <w:rFonts w:ascii="Times New Roman" w:eastAsia="Times New Roman" w:hAnsi="Times New Roman" w:cs="Times New Roman"/>
          <w:b/>
          <w:bCs/>
        </w:rPr>
      </w:pPr>
      <w:r w:rsidRPr="00E8148C">
        <w:rPr>
          <w:rFonts w:ascii="Times New Roman" w:eastAsia="Times New Roman" w:hAnsi="Times New Roman" w:cs="Times New Roman"/>
          <w:b/>
          <w:bCs/>
        </w:rPr>
        <w:t>Recent Publications</w:t>
      </w:r>
    </w:p>
    <w:p w14:paraId="67419F1B" w14:textId="18366CA1" w:rsidR="00E8148C" w:rsidRPr="00E8148C" w:rsidRDefault="00E8148C" w:rsidP="00E8148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8"/>
          <w:szCs w:val="16"/>
        </w:rPr>
      </w:pPr>
      <w:r w:rsidRPr="00E8148C">
        <w:rPr>
          <w:rFonts w:ascii="Times New Roman" w:eastAsia="Calibri" w:hAnsi="Times New Roman" w:cs="Times New Roman"/>
          <w:b/>
          <w:bCs/>
          <w:sz w:val="14"/>
          <w:szCs w:val="14"/>
        </w:rPr>
        <w:t>Arunga S, Atto G, Ayebazibwe B, Onyango J, Macleod D, Hu VH, Burton MJ</w:t>
      </w:r>
      <w:r w:rsidRPr="00E8148C">
        <w:rPr>
          <w:rFonts w:ascii="Times New Roman" w:eastAsia="Calibri" w:hAnsi="Times New Roman" w:cs="Times New Roman"/>
          <w:b/>
          <w:bCs/>
          <w:sz w:val="10"/>
          <w:szCs w:val="10"/>
        </w:rPr>
        <w:t xml:space="preserve">. </w:t>
      </w:r>
      <w:r w:rsidRPr="00E8148C">
        <w:rPr>
          <w:rFonts w:ascii="Times New Roman" w:eastAsia="Calibri" w:hAnsi="Times New Roman" w:cs="Times New Roman"/>
          <w:b/>
          <w:bCs/>
          <w:sz w:val="16"/>
          <w:szCs w:val="16"/>
        </w:rPr>
        <w:t>(</w:t>
      </w:r>
      <w:r w:rsidRPr="00E8148C">
        <w:rPr>
          <w:rFonts w:ascii="Times New Roman" w:eastAsia="Calibri" w:hAnsi="Times New Roman" w:cs="Times New Roman"/>
          <w:b/>
          <w:bCs/>
          <w:sz w:val="14"/>
          <w:szCs w:val="14"/>
        </w:rPr>
        <w:t>2020).</w:t>
      </w:r>
      <w:r w:rsidRPr="00E8148C">
        <w:rPr>
          <w:rFonts w:ascii="Times New Roman" w:eastAsia="Calibri" w:hAnsi="Times New Roman" w:cs="Times New Roman"/>
          <w:b/>
          <w:bCs/>
          <w:sz w:val="10"/>
          <w:szCs w:val="10"/>
        </w:rPr>
        <w:t xml:space="preserve"> </w:t>
      </w:r>
      <w:r w:rsidRPr="00E8148C">
        <w:rPr>
          <w:rFonts w:ascii="Times New Roman" w:eastAsia="Calibri" w:hAnsi="Times New Roman" w:cs="Times New Roman"/>
          <w:sz w:val="18"/>
          <w:szCs w:val="16"/>
        </w:rPr>
        <w:t xml:space="preserve">Factors associated with poor presenting vision among patients with microbial keratitis In Uganda. </w:t>
      </w:r>
      <w:r w:rsidRPr="00E8148C">
        <w:rPr>
          <w:rFonts w:ascii="Times New Roman" w:eastAsia="Calibri" w:hAnsi="Times New Roman" w:cs="Times New Roman"/>
          <w:i/>
          <w:iCs/>
          <w:sz w:val="18"/>
          <w:szCs w:val="16"/>
        </w:rPr>
        <w:t>JOECSA 24(1)</w:t>
      </w:r>
    </w:p>
    <w:p w14:paraId="5B81B53C" w14:textId="77777777" w:rsidR="00E8148C" w:rsidRPr="00E8148C" w:rsidRDefault="00E8148C" w:rsidP="00E8148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18"/>
          <w:szCs w:val="16"/>
        </w:rPr>
      </w:pPr>
      <w:r w:rsidRPr="00E8148C">
        <w:rPr>
          <w:rFonts w:ascii="Times New Roman" w:eastAsia="Batang" w:hAnsi="Times New Roman" w:cs="Times New Roman"/>
          <w:b/>
          <w:bCs/>
          <w:sz w:val="16"/>
          <w:szCs w:val="16"/>
        </w:rPr>
        <w:t xml:space="preserve">Atto G, Twinamasiko A, Arunga S. (2021). </w:t>
      </w:r>
      <w:r w:rsidRPr="00E8148C">
        <w:rPr>
          <w:rFonts w:ascii="Times New Roman" w:eastAsia="Batang" w:hAnsi="Times New Roman" w:cs="Times New Roman"/>
          <w:sz w:val="16"/>
          <w:szCs w:val="16"/>
        </w:rPr>
        <w:t>Sensitivity, and specificity of McMonnies questionnaire in diagnosing dry eye syndrome among patients aged 40 years and above in Uganda.</w:t>
      </w:r>
      <w:r w:rsidRPr="00E8148C">
        <w:rPr>
          <w:rFonts w:ascii="Times New Roman" w:eastAsia="Calibri" w:hAnsi="Times New Roman" w:cs="Times New Roman"/>
          <w:sz w:val="18"/>
          <w:szCs w:val="16"/>
        </w:rPr>
        <w:t xml:space="preserve"> </w:t>
      </w:r>
      <w:r w:rsidRPr="00E8148C">
        <w:rPr>
          <w:rFonts w:ascii="Times New Roman" w:eastAsia="Calibri" w:hAnsi="Times New Roman" w:cs="Times New Roman"/>
          <w:i/>
          <w:iCs/>
          <w:sz w:val="18"/>
          <w:szCs w:val="16"/>
        </w:rPr>
        <w:t>JOECSA 25(1)</w:t>
      </w:r>
    </w:p>
    <w:p w14:paraId="1A12A441" w14:textId="77777777" w:rsidR="00E8148C" w:rsidRPr="00E8148C" w:rsidRDefault="00E8148C" w:rsidP="00E8148C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i/>
          <w:iCs/>
          <w:sz w:val="18"/>
          <w:szCs w:val="16"/>
        </w:rPr>
      </w:pPr>
    </w:p>
    <w:p w14:paraId="583402D7" w14:textId="77777777" w:rsidR="00E8148C" w:rsidRPr="00E8148C" w:rsidRDefault="00E8148C" w:rsidP="00E8148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18"/>
          <w:szCs w:val="16"/>
        </w:rPr>
      </w:pPr>
      <w:r w:rsidRPr="00E8148C">
        <w:rPr>
          <w:rFonts w:ascii="Times New Roman" w:eastAsia="Batang" w:hAnsi="Times New Roman" w:cs="Times New Roman"/>
          <w:b/>
          <w:bCs/>
          <w:sz w:val="16"/>
          <w:szCs w:val="16"/>
        </w:rPr>
        <w:t>Atto Gladys (2022).</w:t>
      </w:r>
      <w:r w:rsidRPr="00E8148C">
        <w:rPr>
          <w:rFonts w:ascii="Times New Roman" w:eastAsia="Calibri" w:hAnsi="Times New Roman" w:cs="Times New Roman"/>
          <w:i/>
          <w:iCs/>
          <w:sz w:val="18"/>
          <w:szCs w:val="16"/>
        </w:rPr>
        <w:t xml:space="preserve"> Global perspectives: What it is like to be the only ophthalmologist in my region. CRST</w:t>
      </w:r>
    </w:p>
    <w:p w14:paraId="5D1C91B9" w14:textId="3DA71832" w:rsidR="00E8148C" w:rsidRDefault="00E8148C" w:rsidP="00B26A8F">
      <w:pPr>
        <w:tabs>
          <w:tab w:val="left" w:pos="930"/>
        </w:tabs>
        <w:jc w:val="both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4E57FBD9" w14:textId="20658AD3" w:rsidR="00E8148C" w:rsidRDefault="00E8148C" w:rsidP="00B26A8F">
      <w:pPr>
        <w:tabs>
          <w:tab w:val="left" w:pos="930"/>
        </w:tabs>
        <w:jc w:val="both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728B9611" w14:textId="70090D13" w:rsidR="00E8148C" w:rsidRDefault="00E8148C" w:rsidP="00B26A8F">
      <w:pPr>
        <w:tabs>
          <w:tab w:val="left" w:pos="930"/>
        </w:tabs>
        <w:jc w:val="both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26477855" w14:textId="1EE0140C" w:rsidR="00E8148C" w:rsidRDefault="00E8148C" w:rsidP="00B26A8F">
      <w:pPr>
        <w:tabs>
          <w:tab w:val="left" w:pos="930"/>
        </w:tabs>
        <w:jc w:val="both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156DC88F" w14:textId="2FB3D245" w:rsidR="00E8148C" w:rsidRDefault="00E8148C" w:rsidP="00B26A8F">
      <w:pPr>
        <w:tabs>
          <w:tab w:val="left" w:pos="930"/>
        </w:tabs>
        <w:jc w:val="both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20965D03" w14:textId="437AFB8E" w:rsidR="00E8148C" w:rsidRDefault="00E8148C" w:rsidP="00B26A8F">
      <w:pPr>
        <w:tabs>
          <w:tab w:val="left" w:pos="930"/>
        </w:tabs>
        <w:jc w:val="both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60114AA7" w14:textId="1269E13B" w:rsidR="00E8148C" w:rsidRDefault="00E8148C" w:rsidP="00B26A8F">
      <w:pPr>
        <w:tabs>
          <w:tab w:val="left" w:pos="930"/>
        </w:tabs>
        <w:jc w:val="both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02F251E1" w14:textId="253BD61E" w:rsidR="00E8148C" w:rsidRDefault="00E8148C" w:rsidP="00B26A8F">
      <w:pPr>
        <w:tabs>
          <w:tab w:val="left" w:pos="930"/>
        </w:tabs>
        <w:jc w:val="both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03920B48" w14:textId="14C76D20" w:rsidR="00E8148C" w:rsidRDefault="00E8148C" w:rsidP="00B26A8F">
      <w:pPr>
        <w:tabs>
          <w:tab w:val="left" w:pos="930"/>
        </w:tabs>
        <w:jc w:val="both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6444CBCA" w14:textId="77777777" w:rsidR="0016139D" w:rsidRDefault="0016139D" w:rsidP="00B26A8F">
      <w:pPr>
        <w:tabs>
          <w:tab w:val="left" w:pos="930"/>
        </w:tabs>
        <w:jc w:val="both"/>
        <w:rPr>
          <w:rFonts w:ascii="Segoe UI" w:hAnsi="Segoe UI" w:cs="Segoe UI"/>
          <w:sz w:val="21"/>
          <w:szCs w:val="21"/>
          <w:shd w:val="clear" w:color="auto" w:fill="FFFFFF"/>
        </w:rPr>
        <w:sectPr w:rsidR="0016139D" w:rsidSect="007C7C9E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52492060" w14:textId="4DBFD57B" w:rsidR="0016139D" w:rsidRPr="00E8148C" w:rsidRDefault="0016139D" w:rsidP="00603CFC">
      <w:pPr>
        <w:tabs>
          <w:tab w:val="left" w:pos="930"/>
        </w:tabs>
        <w:ind w:left="288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rPr>
          <w:rFonts w:ascii="Segoe UI" w:hAnsi="Segoe UI" w:cs="Segoe UI"/>
          <w:noProof/>
          <w:sz w:val="21"/>
          <w:szCs w:val="21"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35BF4D" wp14:editId="6D066D10">
                <wp:simplePos x="0" y="0"/>
                <wp:positionH relativeFrom="margin">
                  <wp:posOffset>69850</wp:posOffset>
                </wp:positionH>
                <wp:positionV relativeFrom="paragraph">
                  <wp:posOffset>0</wp:posOffset>
                </wp:positionV>
                <wp:extent cx="1619250" cy="1606550"/>
                <wp:effectExtent l="0" t="0" r="19050" b="127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1606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7462CBE" w14:textId="782B6E3A" w:rsidR="0016139D" w:rsidRDefault="0016139D"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761BF421" wp14:editId="05134574">
                                  <wp:extent cx="1606550" cy="1762760"/>
                                  <wp:effectExtent l="0" t="0" r="0" b="889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06550" cy="17627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335BF4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.5pt;margin-top:0;width:127.5pt;height:12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" fillcolor="white [3201]" strokecolor="white [3212]" strokeweight=".5pt">
                <v:textbox>
                  <w:txbxContent>
                    <w:p w14:paraId="37462CBE" w14:textId="782B6E3A" w:rsidR="0016139D" w:rsidRDefault="0016139D">
                      <w:r>
                        <w:rPr>
                          <w:noProof/>
                        </w:rPr>
                        <w:drawing>
                          <wp:inline distT="0" distB="0" distL="0" distR="0" wp14:anchorId="761BF421" wp14:editId="05134574">
                            <wp:extent cx="1606550" cy="1762760"/>
                            <wp:effectExtent l="0" t="0" r="0" b="889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06550" cy="17627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Dr Gladys Atto is a Ugandan ophthalmologist with a subspecialty </w:t>
      </w:r>
      <w:r w:rsidR="00603CFC">
        <w:rPr>
          <w:rFonts w:ascii="Segoe UI" w:hAnsi="Segoe UI" w:cs="Segoe UI"/>
          <w:sz w:val="21"/>
          <w:szCs w:val="21"/>
          <w:shd w:val="clear" w:color="auto" w:fill="FFFFFF"/>
        </w:rPr>
        <w:t xml:space="preserve">    </w:t>
      </w:r>
      <w:r>
        <w:rPr>
          <w:rFonts w:ascii="Segoe UI" w:hAnsi="Segoe UI" w:cs="Segoe UI"/>
          <w:sz w:val="21"/>
          <w:szCs w:val="21"/>
          <w:shd w:val="clear" w:color="auto" w:fill="FFFFFF"/>
        </w:rPr>
        <w:t>training in public eye health from London School of Hygiene and Tropical medicine. She has a legacy of being the first ophthalmologist in Karamoja subregion - one of the hardest to reach areas in Uganda. She not only functionalized the eye unit at the Regional Referral Hospital in Moroto district, but also turned it into a Centre of excellence for the provision of eye care services in the sub-region.</w:t>
      </w:r>
      <w:r w:rsidRPr="0016139D">
        <w:rPr>
          <w:rFonts w:ascii="Segoe UI" w:hAnsi="Segoe UI" w:cs="Segoe UI"/>
          <w:sz w:val="21"/>
          <w:szCs w:val="21"/>
          <w:shd w:val="clear" w:color="auto" w:fill="FFFFFF"/>
        </w:rPr>
        <w:t xml:space="preserve"> </w:t>
      </w:r>
      <w:r>
        <w:rPr>
          <w:rFonts w:ascii="Segoe UI" w:hAnsi="Segoe UI" w:cs="Segoe UI"/>
          <w:sz w:val="21"/>
          <w:szCs w:val="21"/>
          <w:shd w:val="clear" w:color="auto" w:fill="FFFFFF"/>
        </w:rPr>
        <w:t>She received the 'the women in medicine' award from the Uganda Medical Association in recognition of her efforts in strengthening the health system in 2021 and was nominated for</w:t>
      </w:r>
      <w:r w:rsidR="00603CFC">
        <w:rPr>
          <w:rFonts w:ascii="Segoe UI" w:hAnsi="Segoe UI" w:cs="Segoe UI"/>
          <w:sz w:val="21"/>
          <w:szCs w:val="21"/>
          <w:shd w:val="clear" w:color="auto" w:fill="FFFFFF"/>
        </w:rPr>
        <w:t xml:space="preserve"> </w:t>
      </w:r>
      <w:r>
        <w:rPr>
          <w:rFonts w:ascii="Segoe UI" w:hAnsi="Segoe UI" w:cs="Segoe UI"/>
          <w:sz w:val="21"/>
          <w:szCs w:val="21"/>
          <w:shd w:val="clear" w:color="auto" w:fill="FFFFFF"/>
        </w:rPr>
        <w:t>"Doctor of the year'' and "Global Health Champion, North" categories of Heroes in Health awards by Ministry of health, Uganda in 2022.</w:t>
      </w:r>
    </w:p>
    <w:p w14:paraId="04BAD45B" w14:textId="5A6BED46" w:rsidR="0016139D" w:rsidRDefault="0016139D" w:rsidP="0016139D">
      <w:pPr>
        <w:tabs>
          <w:tab w:val="left" w:pos="3570"/>
        </w:tabs>
        <w:jc w:val="both"/>
        <w:rPr>
          <w:rFonts w:ascii="Segoe UI" w:hAnsi="Segoe UI" w:cs="Segoe UI"/>
          <w:sz w:val="21"/>
          <w:szCs w:val="21"/>
          <w:shd w:val="clear" w:color="auto" w:fill="FFFFFF"/>
        </w:rPr>
      </w:pPr>
    </w:p>
    <w:p w14:paraId="38247BB8" w14:textId="77777777" w:rsidR="0016139D" w:rsidRDefault="0016139D" w:rsidP="00B26A8F">
      <w:pPr>
        <w:tabs>
          <w:tab w:val="left" w:pos="930"/>
        </w:tabs>
        <w:jc w:val="both"/>
        <w:rPr>
          <w:rFonts w:ascii="Segoe UI" w:hAnsi="Segoe UI" w:cs="Segoe UI"/>
          <w:sz w:val="21"/>
          <w:szCs w:val="21"/>
          <w:shd w:val="clear" w:color="auto" w:fill="FFFFFF"/>
        </w:rPr>
      </w:pPr>
    </w:p>
    <w:p w14:paraId="3F71DB4F" w14:textId="77777777" w:rsidR="0016139D" w:rsidRDefault="0016139D" w:rsidP="00B26A8F">
      <w:pPr>
        <w:tabs>
          <w:tab w:val="left" w:pos="930"/>
        </w:tabs>
        <w:jc w:val="both"/>
        <w:rPr>
          <w:rFonts w:ascii="Segoe UI" w:hAnsi="Segoe UI" w:cs="Segoe UI"/>
          <w:sz w:val="21"/>
          <w:szCs w:val="21"/>
          <w:shd w:val="clear" w:color="auto" w:fill="FFFFFF"/>
        </w:rPr>
      </w:pPr>
    </w:p>
    <w:p w14:paraId="412041DB" w14:textId="77777777" w:rsidR="00C901C0" w:rsidRPr="00C901C0" w:rsidRDefault="00C901C0" w:rsidP="00C901C0">
      <w:pPr>
        <w:widowControl w:val="0"/>
        <w:spacing w:after="0" w:line="240" w:lineRule="auto"/>
        <w:jc w:val="both"/>
        <w:rPr>
          <w:rFonts w:ascii="Tw Cen MT" w:eastAsia="Tw Cen MT" w:hAnsi="Tw Cen MT" w:cs="Tw Cen MT"/>
          <w:b/>
        </w:rPr>
      </w:pPr>
      <w:r w:rsidRPr="00C901C0">
        <w:rPr>
          <w:rFonts w:ascii="Tw Cen MT" w:eastAsia="Tw Cen MT" w:hAnsi="Tw Cen MT" w:cs="Tw Cen MT"/>
          <w:b/>
        </w:rPr>
        <w:t xml:space="preserve">Presenting author details </w:t>
      </w:r>
    </w:p>
    <w:p w14:paraId="0D8B48B3" w14:textId="1DFD29BD" w:rsidR="00C901C0" w:rsidRPr="00C901C0" w:rsidRDefault="00C901C0" w:rsidP="00C901C0">
      <w:pPr>
        <w:widowControl w:val="0"/>
        <w:spacing w:after="0" w:line="240" w:lineRule="auto"/>
        <w:jc w:val="both"/>
        <w:rPr>
          <w:rFonts w:ascii="Tw Cen MT" w:eastAsia="Tw Cen MT" w:hAnsi="Tw Cen MT" w:cs="Tw Cen MT"/>
        </w:rPr>
      </w:pPr>
      <w:r w:rsidRPr="00C901C0">
        <w:rPr>
          <w:rFonts w:ascii="Tw Cen MT" w:eastAsia="Tw Cen MT" w:hAnsi="Tw Cen MT" w:cs="Tw Cen MT"/>
        </w:rPr>
        <w:t xml:space="preserve">Full name: </w:t>
      </w:r>
      <w:r>
        <w:rPr>
          <w:rFonts w:ascii="Tw Cen MT" w:eastAsia="Tw Cen MT" w:hAnsi="Tw Cen MT" w:cs="Tw Cen MT"/>
        </w:rPr>
        <w:t>Gladys Atto</w:t>
      </w:r>
    </w:p>
    <w:p w14:paraId="3370C236" w14:textId="6FE1B8C9" w:rsidR="00C901C0" w:rsidRPr="00C901C0" w:rsidRDefault="00C901C0" w:rsidP="00C901C0">
      <w:pPr>
        <w:widowControl w:val="0"/>
        <w:spacing w:after="0" w:line="240" w:lineRule="auto"/>
        <w:jc w:val="both"/>
        <w:rPr>
          <w:rFonts w:ascii="Tw Cen MT" w:eastAsia="Tw Cen MT" w:hAnsi="Tw Cen MT" w:cs="Tw Cen MT"/>
        </w:rPr>
      </w:pPr>
      <w:r w:rsidRPr="00C901C0">
        <w:rPr>
          <w:rFonts w:ascii="Tw Cen MT" w:eastAsia="Tw Cen MT" w:hAnsi="Tw Cen MT" w:cs="Tw Cen MT"/>
        </w:rPr>
        <w:t>Contact number:</w:t>
      </w:r>
      <w:r>
        <w:rPr>
          <w:rFonts w:ascii="Tw Cen MT" w:eastAsia="Tw Cen MT" w:hAnsi="Tw Cen MT" w:cs="Tw Cen MT"/>
        </w:rPr>
        <w:t xml:space="preserve"> +256773943552</w:t>
      </w:r>
    </w:p>
    <w:p w14:paraId="07D75A87" w14:textId="0F576E2F" w:rsidR="00C901C0" w:rsidRPr="00C901C0" w:rsidRDefault="00C901C0" w:rsidP="00C901C0">
      <w:pPr>
        <w:widowControl w:val="0"/>
        <w:spacing w:after="0" w:line="240" w:lineRule="auto"/>
        <w:jc w:val="both"/>
        <w:rPr>
          <w:rFonts w:ascii="Tw Cen MT" w:eastAsia="Tw Cen MT" w:hAnsi="Tw Cen MT" w:cs="Tw Cen MT"/>
        </w:rPr>
      </w:pPr>
      <w:r w:rsidRPr="00C901C0">
        <w:rPr>
          <w:rFonts w:ascii="Tw Cen MT" w:eastAsia="Tw Cen MT" w:hAnsi="Tw Cen MT" w:cs="Tw Cen MT"/>
        </w:rPr>
        <w:t xml:space="preserve">Mail id: </w:t>
      </w:r>
      <w:r>
        <w:rPr>
          <w:rFonts w:ascii="Tw Cen MT" w:eastAsia="Tw Cen MT" w:hAnsi="Tw Cen MT" w:cs="Tw Cen MT"/>
        </w:rPr>
        <w:t>attoglad@gmail.com</w:t>
      </w:r>
    </w:p>
    <w:p w14:paraId="6BB89667" w14:textId="4A85E4BC" w:rsidR="00C901C0" w:rsidRPr="00C901C0" w:rsidRDefault="00C901C0" w:rsidP="00C901C0">
      <w:pPr>
        <w:widowControl w:val="0"/>
        <w:spacing w:after="0" w:line="240" w:lineRule="auto"/>
        <w:jc w:val="both"/>
        <w:rPr>
          <w:rFonts w:ascii="Tw Cen MT" w:eastAsia="Tw Cen MT" w:hAnsi="Tw Cen MT" w:cs="Tw Cen MT"/>
        </w:rPr>
      </w:pPr>
      <w:r w:rsidRPr="00C901C0">
        <w:rPr>
          <w:rFonts w:ascii="Tw Cen MT" w:eastAsia="Tw Cen MT" w:hAnsi="Tw Cen MT" w:cs="Tw Cen MT"/>
        </w:rPr>
        <w:t xml:space="preserve">Category: (Oral presentation) </w:t>
      </w:r>
    </w:p>
    <w:p w14:paraId="236ED173" w14:textId="77777777" w:rsidR="00C901C0" w:rsidRPr="00C901C0" w:rsidRDefault="00C901C0" w:rsidP="00C901C0">
      <w:pPr>
        <w:widowControl w:val="0"/>
        <w:spacing w:before="3" w:after="0" w:line="240" w:lineRule="auto"/>
        <w:rPr>
          <w:rFonts w:ascii="Minion Pro" w:eastAsia="Tw Cen MT" w:hAnsi="Tw Cen MT" w:cs="Tw Cen MT"/>
          <w:sz w:val="26"/>
          <w:szCs w:val="18"/>
        </w:rPr>
      </w:pPr>
    </w:p>
    <w:p w14:paraId="3E31E6D5" w14:textId="77777777" w:rsidR="0016139D" w:rsidRDefault="0016139D" w:rsidP="00B26A8F">
      <w:pPr>
        <w:tabs>
          <w:tab w:val="left" w:pos="930"/>
        </w:tabs>
        <w:jc w:val="both"/>
        <w:rPr>
          <w:rFonts w:ascii="Segoe UI" w:hAnsi="Segoe UI" w:cs="Segoe UI"/>
          <w:sz w:val="21"/>
          <w:szCs w:val="21"/>
          <w:shd w:val="clear" w:color="auto" w:fill="FFFFFF"/>
        </w:rPr>
      </w:pPr>
    </w:p>
    <w:p w14:paraId="6624F66B" w14:textId="77777777" w:rsidR="0016139D" w:rsidRDefault="0016139D" w:rsidP="00B26A8F">
      <w:pPr>
        <w:tabs>
          <w:tab w:val="left" w:pos="930"/>
        </w:tabs>
        <w:jc w:val="both"/>
        <w:rPr>
          <w:rFonts w:ascii="Segoe UI" w:hAnsi="Segoe UI" w:cs="Segoe UI"/>
          <w:sz w:val="21"/>
          <w:szCs w:val="21"/>
          <w:shd w:val="clear" w:color="auto" w:fill="FFFFFF"/>
        </w:rPr>
      </w:pPr>
    </w:p>
    <w:p w14:paraId="47C39609" w14:textId="77777777" w:rsidR="0016139D" w:rsidRDefault="0016139D" w:rsidP="00B26A8F">
      <w:pPr>
        <w:tabs>
          <w:tab w:val="left" w:pos="930"/>
        </w:tabs>
        <w:jc w:val="both"/>
        <w:rPr>
          <w:rFonts w:ascii="Segoe UI" w:hAnsi="Segoe UI" w:cs="Segoe UI"/>
          <w:sz w:val="21"/>
          <w:szCs w:val="21"/>
          <w:shd w:val="clear" w:color="auto" w:fill="FFFFFF"/>
        </w:rPr>
      </w:pPr>
    </w:p>
    <w:sectPr w:rsidR="0016139D" w:rsidSect="0016139D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40FF8"/>
    <w:multiLevelType w:val="hybridMultilevel"/>
    <w:tmpl w:val="CF1A988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F722D3"/>
    <w:multiLevelType w:val="hybridMultilevel"/>
    <w:tmpl w:val="DC8454A4"/>
    <w:lvl w:ilvl="0" w:tplc="1EA0240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B712ED"/>
    <w:multiLevelType w:val="hybridMultilevel"/>
    <w:tmpl w:val="E30E411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E7D"/>
    <w:rsid w:val="00027297"/>
    <w:rsid w:val="00033C91"/>
    <w:rsid w:val="0003492C"/>
    <w:rsid w:val="000527DC"/>
    <w:rsid w:val="000802C4"/>
    <w:rsid w:val="000A7ABA"/>
    <w:rsid w:val="000C0D17"/>
    <w:rsid w:val="001173A5"/>
    <w:rsid w:val="00125F5F"/>
    <w:rsid w:val="00133EBF"/>
    <w:rsid w:val="0016139D"/>
    <w:rsid w:val="001651F8"/>
    <w:rsid w:val="001676CE"/>
    <w:rsid w:val="002F6734"/>
    <w:rsid w:val="00303F88"/>
    <w:rsid w:val="003230CE"/>
    <w:rsid w:val="003256B2"/>
    <w:rsid w:val="003B53C1"/>
    <w:rsid w:val="003F502C"/>
    <w:rsid w:val="004620E9"/>
    <w:rsid w:val="0052004A"/>
    <w:rsid w:val="005319AE"/>
    <w:rsid w:val="00595A2D"/>
    <w:rsid w:val="005A1E0C"/>
    <w:rsid w:val="005B7936"/>
    <w:rsid w:val="0060381B"/>
    <w:rsid w:val="00603CFC"/>
    <w:rsid w:val="00633F13"/>
    <w:rsid w:val="0063696B"/>
    <w:rsid w:val="00651388"/>
    <w:rsid w:val="00683717"/>
    <w:rsid w:val="00704E7D"/>
    <w:rsid w:val="007C7C9E"/>
    <w:rsid w:val="007E2061"/>
    <w:rsid w:val="007F1387"/>
    <w:rsid w:val="00810D87"/>
    <w:rsid w:val="00827244"/>
    <w:rsid w:val="008B694D"/>
    <w:rsid w:val="008F1180"/>
    <w:rsid w:val="0091522B"/>
    <w:rsid w:val="00963A0E"/>
    <w:rsid w:val="009A1DD4"/>
    <w:rsid w:val="009C1EBA"/>
    <w:rsid w:val="009D1A9B"/>
    <w:rsid w:val="00A1341B"/>
    <w:rsid w:val="00A366C5"/>
    <w:rsid w:val="00AB5139"/>
    <w:rsid w:val="00AE53EB"/>
    <w:rsid w:val="00B02861"/>
    <w:rsid w:val="00B177C5"/>
    <w:rsid w:val="00B26A8F"/>
    <w:rsid w:val="00B27DBB"/>
    <w:rsid w:val="00B44BB2"/>
    <w:rsid w:val="00BA0A37"/>
    <w:rsid w:val="00BA0F43"/>
    <w:rsid w:val="00BF41B9"/>
    <w:rsid w:val="00C17713"/>
    <w:rsid w:val="00C54784"/>
    <w:rsid w:val="00C901C0"/>
    <w:rsid w:val="00CB7FDE"/>
    <w:rsid w:val="00CF0658"/>
    <w:rsid w:val="00D15194"/>
    <w:rsid w:val="00D65818"/>
    <w:rsid w:val="00DA7099"/>
    <w:rsid w:val="00DE15EC"/>
    <w:rsid w:val="00E279F2"/>
    <w:rsid w:val="00E8148C"/>
    <w:rsid w:val="00FB4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499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004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2004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10D8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DA7099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DA70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F0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6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004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2004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10D8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DA7099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DA70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F0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6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4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41E51-F3C6-42F2-B9CD-19AD1E95A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Gladys Atto</dc:creator>
  <cp:lastModifiedBy>Clinical Pediatrics 2021</cp:lastModifiedBy>
  <cp:revision>2</cp:revision>
  <dcterms:created xsi:type="dcterms:W3CDTF">2023-02-06T06:10:00Z</dcterms:created>
  <dcterms:modified xsi:type="dcterms:W3CDTF">2023-02-06T06:10:00Z</dcterms:modified>
</cp:coreProperties>
</file>