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C631F" w14:textId="77777777" w:rsidR="00EF0DE2" w:rsidRPr="00EF0DE2" w:rsidRDefault="00EF0DE2" w:rsidP="00EF0DE2">
      <w:pPr>
        <w:spacing w:line="480" w:lineRule="auto"/>
        <w:rPr>
          <w:b/>
          <w:bCs/>
          <w:sz w:val="24"/>
        </w:rPr>
      </w:pPr>
      <w:r w:rsidRPr="00EF0DE2">
        <w:rPr>
          <w:b/>
          <w:bCs/>
          <w:sz w:val="24"/>
        </w:rPr>
        <w:t>The sensitivity of sniffer dogs for diagnosis of Parkinson’s Disease: A diagnostic accuracy study</w:t>
      </w:r>
    </w:p>
    <w:p w14:paraId="17938F48" w14:textId="77777777" w:rsidR="00EF0DE2" w:rsidRPr="00EF0DE2" w:rsidRDefault="00EF0DE2" w:rsidP="00EF0DE2">
      <w:pPr>
        <w:spacing w:line="480" w:lineRule="auto"/>
        <w:rPr>
          <w:b/>
          <w:bCs/>
          <w:sz w:val="24"/>
        </w:rPr>
      </w:pPr>
      <w:bookmarkStart w:id="0" w:name="_GoBack"/>
      <w:bookmarkEnd w:id="0"/>
    </w:p>
    <w:p w14:paraId="54C931EF" w14:textId="5EA1F46A" w:rsidR="00EF0DE2" w:rsidRPr="00EF0DE2" w:rsidRDefault="00EF0DE2" w:rsidP="00EF0DE2">
      <w:pPr>
        <w:spacing w:line="480" w:lineRule="auto"/>
        <w:rPr>
          <w:sz w:val="24"/>
        </w:rPr>
      </w:pPr>
      <w:r w:rsidRPr="00EF0DE2">
        <w:rPr>
          <w:sz w:val="24"/>
        </w:rPr>
        <w:t>Chang-Qing Gao, MD PhD</w:t>
      </w:r>
      <w:r w:rsidR="007B7E14">
        <w:rPr>
          <w:sz w:val="24"/>
        </w:rPr>
        <w:t xml:space="preserve"> </w:t>
      </w:r>
      <w:r w:rsidR="007B7E14">
        <w:rPr>
          <w:rFonts w:hint="eastAsia"/>
          <w:sz w:val="24"/>
        </w:rPr>
        <w:t>and</w:t>
      </w:r>
      <w:r w:rsidR="007B7E14">
        <w:rPr>
          <w:sz w:val="24"/>
        </w:rPr>
        <w:t xml:space="preserve"> Ji-Feng Guo MD PhD</w:t>
      </w:r>
      <w:r w:rsidRPr="00EF0DE2">
        <w:rPr>
          <w:sz w:val="24"/>
        </w:rPr>
        <w:t>.</w:t>
      </w:r>
    </w:p>
    <w:p w14:paraId="60179C36" w14:textId="77777777" w:rsidR="00EF0DE2" w:rsidRDefault="00EF0DE2" w:rsidP="00EF0DE2">
      <w:pPr>
        <w:spacing w:line="480" w:lineRule="auto"/>
        <w:rPr>
          <w:b/>
          <w:bCs/>
          <w:sz w:val="24"/>
        </w:rPr>
      </w:pPr>
    </w:p>
    <w:p w14:paraId="468EAF5C" w14:textId="458D7D95" w:rsidR="00EF0DE2" w:rsidRDefault="00EF0DE2" w:rsidP="00EF0DE2">
      <w:pPr>
        <w:spacing w:line="480" w:lineRule="auto"/>
        <w:rPr>
          <w:b/>
          <w:bCs/>
          <w:sz w:val="24"/>
        </w:rPr>
      </w:pPr>
      <w:r>
        <w:rPr>
          <w:b/>
          <w:bCs/>
          <w:sz w:val="24"/>
        </w:rPr>
        <w:t>Abstract</w:t>
      </w:r>
    </w:p>
    <w:p w14:paraId="6AEA4026" w14:textId="77777777" w:rsidR="00EF0DE2" w:rsidRDefault="00EF0DE2" w:rsidP="00EF0DE2">
      <w:pPr>
        <w:spacing w:line="480" w:lineRule="auto"/>
        <w:rPr>
          <w:sz w:val="24"/>
        </w:rPr>
      </w:pPr>
      <w:r>
        <w:rPr>
          <w:b/>
          <w:bCs/>
          <w:sz w:val="24"/>
        </w:rPr>
        <w:t>Background:</w:t>
      </w:r>
      <w:r>
        <w:rPr>
          <w:sz w:val="24"/>
        </w:rPr>
        <w:t xml:space="preserve"> The diagnostic criteria for Parkinson’s disease (PD) remain complex, which is </w:t>
      </w:r>
      <w:r>
        <w:rPr>
          <w:rFonts w:hint="eastAsia"/>
          <w:sz w:val="24"/>
        </w:rPr>
        <w:t xml:space="preserve">especially </w:t>
      </w:r>
      <w:r>
        <w:rPr>
          <w:sz w:val="24"/>
        </w:rPr>
        <w:t xml:space="preserve">problematic </w:t>
      </w:r>
      <w:r>
        <w:rPr>
          <w:rFonts w:hint="eastAsia"/>
          <w:sz w:val="24"/>
        </w:rPr>
        <w:t>for non-</w:t>
      </w:r>
      <w:r>
        <w:rPr>
          <w:sz w:val="24"/>
        </w:rPr>
        <w:t xml:space="preserve">movement disorder </w:t>
      </w:r>
      <w:r>
        <w:rPr>
          <w:rFonts w:hint="eastAsia"/>
          <w:sz w:val="24"/>
        </w:rPr>
        <w:t xml:space="preserve">experts. </w:t>
      </w:r>
      <w:r>
        <w:rPr>
          <w:sz w:val="24"/>
        </w:rPr>
        <w:t xml:space="preserve">A test is required to establish a diagnosis of PD with improved accuracy and reproducibility. </w:t>
      </w:r>
    </w:p>
    <w:p w14:paraId="37ABE8F1" w14:textId="77777777" w:rsidR="00EF0DE2" w:rsidRDefault="00EF0DE2" w:rsidP="00EF0DE2">
      <w:pPr>
        <w:spacing w:line="480" w:lineRule="auto"/>
        <w:rPr>
          <w:sz w:val="24"/>
        </w:rPr>
      </w:pPr>
      <w:r>
        <w:rPr>
          <w:b/>
          <w:bCs/>
          <w:sz w:val="24"/>
        </w:rPr>
        <w:t>Objective:</w:t>
      </w:r>
      <w:r>
        <w:rPr>
          <w:sz w:val="24"/>
        </w:rPr>
        <w:t xml:space="preserve"> The study aimed to investigate the sensitivity and specificity of tests using sniffer dogs to diagnose Parkinson’s Disease.</w:t>
      </w:r>
    </w:p>
    <w:p w14:paraId="59143832" w14:textId="77777777" w:rsidR="00EF0DE2" w:rsidRPr="00C77974" w:rsidRDefault="00EF0DE2" w:rsidP="00EF0DE2">
      <w:pPr>
        <w:spacing w:line="480" w:lineRule="auto"/>
        <w:rPr>
          <w:sz w:val="24"/>
        </w:rPr>
      </w:pPr>
      <w:r>
        <w:rPr>
          <w:b/>
          <w:bCs/>
          <w:sz w:val="24"/>
        </w:rPr>
        <w:t xml:space="preserve">Methods: </w:t>
      </w:r>
      <w:r>
        <w:rPr>
          <w:sz w:val="24"/>
        </w:rPr>
        <w:t xml:space="preserve">A prospective, diagnostic case-control study was conducted in four tertiary medical centers in China to evaluate the accuracy of sniffer dogs to distinguish between 109 clinically established </w:t>
      </w:r>
      <w:r>
        <w:rPr>
          <w:rFonts w:hint="eastAsia"/>
          <w:sz w:val="24"/>
        </w:rPr>
        <w:t>medi</w:t>
      </w:r>
      <w:r>
        <w:rPr>
          <w:sz w:val="24"/>
        </w:rPr>
        <w:t>cated PD patients and 654 non-PD subjects, 37 drug naïve PD patients and 185 non-PD controls.</w:t>
      </w:r>
      <w:r w:rsidRPr="00C77974">
        <w:rPr>
          <w:sz w:val="24"/>
        </w:rPr>
        <w:t xml:space="preserve"> The primary outcomes were sensitivity and specificity of sniffer dog’s identification. </w:t>
      </w:r>
    </w:p>
    <w:p w14:paraId="77BCBD6A" w14:textId="77777777" w:rsidR="00EF0DE2" w:rsidRDefault="00EF0DE2" w:rsidP="00EF0DE2">
      <w:pPr>
        <w:spacing w:line="480" w:lineRule="auto"/>
        <w:rPr>
          <w:sz w:val="24"/>
        </w:rPr>
      </w:pPr>
      <w:r>
        <w:rPr>
          <w:rFonts w:hint="eastAsia"/>
          <w:b/>
          <w:bCs/>
          <w:sz w:val="24"/>
        </w:rPr>
        <w:t>R</w:t>
      </w:r>
      <w:r>
        <w:rPr>
          <w:b/>
          <w:bCs/>
          <w:sz w:val="24"/>
        </w:rPr>
        <w:t xml:space="preserve">esults: </w:t>
      </w:r>
      <w:r>
        <w:rPr>
          <w:sz w:val="24"/>
        </w:rPr>
        <w:t>In the</w:t>
      </w:r>
      <w:r>
        <w:rPr>
          <w:b/>
          <w:bCs/>
          <w:sz w:val="24"/>
        </w:rPr>
        <w:t xml:space="preserve"> </w:t>
      </w:r>
      <w:r>
        <w:rPr>
          <w:sz w:val="24"/>
        </w:rPr>
        <w:t>study with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medicated patients, when 2 or all 3 sniffer dogs yielded positive detection result in a sample tested, the </w:t>
      </w:r>
      <w:r>
        <w:rPr>
          <w:rFonts w:hint="eastAsia"/>
          <w:sz w:val="24"/>
        </w:rPr>
        <w:t>index</w:t>
      </w:r>
      <w:r>
        <w:rPr>
          <w:sz w:val="24"/>
        </w:rPr>
        <w:t xml:space="preserve"> </w:t>
      </w:r>
      <w:r>
        <w:rPr>
          <w:rFonts w:hint="eastAsia"/>
          <w:sz w:val="24"/>
        </w:rPr>
        <w:t>test</w:t>
      </w:r>
      <w:r>
        <w:rPr>
          <w:sz w:val="24"/>
        </w:rPr>
        <w:t xml:space="preserve"> sensitivity, specificity, positive and negative likelihood ratio   were 91% (95% CI: 84%, 96%), 95% (95% CI:93%, 97%), 19.16 (</w:t>
      </w:r>
      <w:r>
        <w:rPr>
          <w:color w:val="000000"/>
          <w:kern w:val="0"/>
          <w:sz w:val="24"/>
          <w:lang w:bidi="ar"/>
        </w:rPr>
        <w:t>95% CI</w:t>
      </w:r>
      <w:r>
        <w:rPr>
          <w:sz w:val="24"/>
        </w:rPr>
        <w:t>:13.52 to 27.16) and 0.10 (</w:t>
      </w:r>
      <w:r>
        <w:rPr>
          <w:color w:val="000000"/>
          <w:kern w:val="0"/>
          <w:sz w:val="24"/>
          <w:lang w:bidi="ar"/>
        </w:rPr>
        <w:t>95% CI</w:t>
      </w:r>
      <w:r>
        <w:rPr>
          <w:sz w:val="24"/>
        </w:rPr>
        <w:t xml:space="preserve">:0.05 to 0.17), respectively. The corresponding sensitivity, specificity, positive and negative likelihood ratio in drug-naïve patients were 89% (95% CI:75%, 96%), 86% (95% CI: </w:t>
      </w:r>
      <w:r>
        <w:rPr>
          <w:sz w:val="24"/>
        </w:rPr>
        <w:lastRenderedPageBreak/>
        <w:t>81%, 91%), 6.6 (95% CI:4.51 to 9.66), and 0.13 (95% CI: 0.05 to 0.32), respectively.</w:t>
      </w:r>
      <w:r>
        <w:rPr>
          <w:rFonts w:hint="eastAsia"/>
          <w:sz w:val="24"/>
        </w:rPr>
        <w:t xml:space="preserve"> </w:t>
      </w:r>
    </w:p>
    <w:p w14:paraId="1EBB70E3" w14:textId="77777777" w:rsidR="00EF0DE2" w:rsidRDefault="00EF0DE2" w:rsidP="00EF0DE2">
      <w:pPr>
        <w:spacing w:line="480" w:lineRule="auto"/>
        <w:rPr>
          <w:color w:val="000000"/>
          <w:sz w:val="24"/>
        </w:rPr>
      </w:pPr>
      <w:r>
        <w:rPr>
          <w:b/>
          <w:bCs/>
          <w:sz w:val="24"/>
        </w:rPr>
        <w:t>Conclusions:</w:t>
      </w:r>
      <w:r w:rsidRPr="00C77974">
        <w:rPr>
          <w:bCs/>
          <w:sz w:val="24"/>
        </w:rPr>
        <w:t xml:space="preserve"> </w:t>
      </w:r>
      <w:bookmarkStart w:id="1" w:name="_Hlk89178183"/>
      <w:r w:rsidRPr="00C77974">
        <w:rPr>
          <w:bCs/>
          <w:sz w:val="24"/>
        </w:rPr>
        <w:t>Tests using</w:t>
      </w:r>
      <w:r>
        <w:rPr>
          <w:b/>
          <w:bCs/>
          <w:sz w:val="24"/>
        </w:rPr>
        <w:t xml:space="preserve"> </w:t>
      </w:r>
      <w:r>
        <w:rPr>
          <w:sz w:val="24"/>
        </w:rPr>
        <w:t>sniffer dogs may be a useful, non-invasive, fast and cost-effective method, to identify PD patients in community screening and health prevention checkups, as well as in neurological practice.</w:t>
      </w:r>
      <w:r>
        <w:rPr>
          <w:color w:val="000000"/>
          <w:sz w:val="24"/>
        </w:rPr>
        <w:t xml:space="preserve"> </w:t>
      </w:r>
      <w:bookmarkEnd w:id="1"/>
    </w:p>
    <w:p w14:paraId="5F56EF42" w14:textId="0C474CCA" w:rsidR="00020E9C" w:rsidRDefault="00020E9C" w:rsidP="00EF0DE2">
      <w:pPr>
        <w:spacing w:line="480" w:lineRule="auto"/>
        <w:rPr>
          <w:color w:val="000000"/>
          <w:sz w:val="24"/>
        </w:rPr>
      </w:pPr>
      <w:proofErr w:type="spellStart"/>
      <w:r>
        <w:rPr>
          <w:color w:val="000000"/>
          <w:sz w:val="24"/>
        </w:rPr>
        <w:t>Boigraphy</w:t>
      </w:r>
      <w:proofErr w:type="spellEnd"/>
      <w:r>
        <w:rPr>
          <w:color w:val="000000"/>
          <w:sz w:val="24"/>
        </w:rPr>
        <w:t>:</w:t>
      </w:r>
    </w:p>
    <w:p w14:paraId="2659A8B7" w14:textId="53521920" w:rsidR="00020E9C" w:rsidRDefault="00020E9C" w:rsidP="00EF0DE2">
      <w:pPr>
        <w:spacing w:line="480" w:lineRule="auto"/>
        <w:rPr>
          <w:color w:val="000000"/>
          <w:sz w:val="24"/>
        </w:rPr>
      </w:pPr>
      <w:r w:rsidRPr="00EF0DE2">
        <w:rPr>
          <w:sz w:val="24"/>
        </w:rPr>
        <w:t xml:space="preserve">Chang-Qing </w:t>
      </w:r>
      <w:proofErr w:type="spellStart"/>
      <w:r w:rsidRPr="00EF0DE2">
        <w:rPr>
          <w:sz w:val="24"/>
        </w:rPr>
        <w:t>Gao</w:t>
      </w:r>
      <w:proofErr w:type="spellEnd"/>
      <w:r>
        <w:rPr>
          <w:sz w:val="24"/>
        </w:rPr>
        <w:t xml:space="preserve"> is a </w:t>
      </w:r>
      <w:r w:rsidR="00E9129C">
        <w:t>d</w:t>
      </w:r>
      <w:r w:rsidR="00E9129C">
        <w:t xml:space="preserve">epartment of Internal Medicine, the Third Xiangya Hospital, Central South University, Changsha 410013, </w:t>
      </w:r>
      <w:proofErr w:type="gramStart"/>
      <w:r w:rsidR="00E9129C">
        <w:t>China</w:t>
      </w:r>
      <w:proofErr w:type="gramEnd"/>
      <w:r>
        <w:rPr>
          <w:sz w:val="24"/>
        </w:rPr>
        <w:t xml:space="preserve"> </w:t>
      </w:r>
    </w:p>
    <w:p w14:paraId="228FD7F8" w14:textId="77777777" w:rsidR="0023005C" w:rsidRPr="00EF0DE2" w:rsidRDefault="0023005C"/>
    <w:sectPr w:rsidR="0023005C" w:rsidRPr="00EF0D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519BDF" w14:textId="77777777" w:rsidR="00366C4F" w:rsidRDefault="00366C4F" w:rsidP="007B7E14">
      <w:r>
        <w:separator/>
      </w:r>
    </w:p>
  </w:endnote>
  <w:endnote w:type="continuationSeparator" w:id="0">
    <w:p w14:paraId="04E634BD" w14:textId="77777777" w:rsidR="00366C4F" w:rsidRDefault="00366C4F" w:rsidP="007B7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D9B560" w14:textId="77777777" w:rsidR="00366C4F" w:rsidRDefault="00366C4F" w:rsidP="007B7E14">
      <w:r>
        <w:separator/>
      </w:r>
    </w:p>
  </w:footnote>
  <w:footnote w:type="continuationSeparator" w:id="0">
    <w:p w14:paraId="2D9B7827" w14:textId="77777777" w:rsidR="00366C4F" w:rsidRDefault="00366C4F" w:rsidP="007B7E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DE2"/>
    <w:rsid w:val="00020E9C"/>
    <w:rsid w:val="00067542"/>
    <w:rsid w:val="0007057A"/>
    <w:rsid w:val="0007397E"/>
    <w:rsid w:val="000A4208"/>
    <w:rsid w:val="000D4A83"/>
    <w:rsid w:val="000E4388"/>
    <w:rsid w:val="001128AD"/>
    <w:rsid w:val="001421FC"/>
    <w:rsid w:val="001856CC"/>
    <w:rsid w:val="00190944"/>
    <w:rsid w:val="001C4AB4"/>
    <w:rsid w:val="001D0575"/>
    <w:rsid w:val="001E6B62"/>
    <w:rsid w:val="00216FD2"/>
    <w:rsid w:val="00223F08"/>
    <w:rsid w:val="0023005C"/>
    <w:rsid w:val="002414F7"/>
    <w:rsid w:val="00287B16"/>
    <w:rsid w:val="002A72C3"/>
    <w:rsid w:val="002C5877"/>
    <w:rsid w:val="00303BA8"/>
    <w:rsid w:val="003609A1"/>
    <w:rsid w:val="00366C4F"/>
    <w:rsid w:val="00383319"/>
    <w:rsid w:val="00391EFF"/>
    <w:rsid w:val="00397B75"/>
    <w:rsid w:val="003D2239"/>
    <w:rsid w:val="00402277"/>
    <w:rsid w:val="00403997"/>
    <w:rsid w:val="004130CD"/>
    <w:rsid w:val="0043546D"/>
    <w:rsid w:val="00442097"/>
    <w:rsid w:val="00460DBF"/>
    <w:rsid w:val="00463E50"/>
    <w:rsid w:val="00493867"/>
    <w:rsid w:val="00496509"/>
    <w:rsid w:val="004D4372"/>
    <w:rsid w:val="004F2827"/>
    <w:rsid w:val="00511906"/>
    <w:rsid w:val="00524505"/>
    <w:rsid w:val="00525B45"/>
    <w:rsid w:val="00566048"/>
    <w:rsid w:val="0060127F"/>
    <w:rsid w:val="006016D9"/>
    <w:rsid w:val="006113F8"/>
    <w:rsid w:val="006215A4"/>
    <w:rsid w:val="0063353D"/>
    <w:rsid w:val="00655120"/>
    <w:rsid w:val="00682AA4"/>
    <w:rsid w:val="006D5330"/>
    <w:rsid w:val="00700C5E"/>
    <w:rsid w:val="0072188D"/>
    <w:rsid w:val="00776768"/>
    <w:rsid w:val="0079487E"/>
    <w:rsid w:val="007B6101"/>
    <w:rsid w:val="007B7E14"/>
    <w:rsid w:val="007C4525"/>
    <w:rsid w:val="007D71DB"/>
    <w:rsid w:val="007D7510"/>
    <w:rsid w:val="00825AA8"/>
    <w:rsid w:val="00843BF6"/>
    <w:rsid w:val="0084418F"/>
    <w:rsid w:val="00871083"/>
    <w:rsid w:val="008A1819"/>
    <w:rsid w:val="008A4A65"/>
    <w:rsid w:val="008C7123"/>
    <w:rsid w:val="008D4A7B"/>
    <w:rsid w:val="008E1E29"/>
    <w:rsid w:val="00905116"/>
    <w:rsid w:val="00997BB2"/>
    <w:rsid w:val="009A0086"/>
    <w:rsid w:val="009C7F8B"/>
    <w:rsid w:val="009E2A5C"/>
    <w:rsid w:val="00A50562"/>
    <w:rsid w:val="00A675CB"/>
    <w:rsid w:val="00A96F34"/>
    <w:rsid w:val="00AB4696"/>
    <w:rsid w:val="00AB673B"/>
    <w:rsid w:val="00AE2CFC"/>
    <w:rsid w:val="00B341EB"/>
    <w:rsid w:val="00B87D2B"/>
    <w:rsid w:val="00B97301"/>
    <w:rsid w:val="00BF3C28"/>
    <w:rsid w:val="00C0251B"/>
    <w:rsid w:val="00C56308"/>
    <w:rsid w:val="00C8314F"/>
    <w:rsid w:val="00CD1B32"/>
    <w:rsid w:val="00CF2BEE"/>
    <w:rsid w:val="00CF593E"/>
    <w:rsid w:val="00D03FE6"/>
    <w:rsid w:val="00D0438D"/>
    <w:rsid w:val="00D1682D"/>
    <w:rsid w:val="00D4542A"/>
    <w:rsid w:val="00D5538B"/>
    <w:rsid w:val="00D67447"/>
    <w:rsid w:val="00D748E2"/>
    <w:rsid w:val="00D86134"/>
    <w:rsid w:val="00D939CB"/>
    <w:rsid w:val="00DD5B19"/>
    <w:rsid w:val="00DF2388"/>
    <w:rsid w:val="00E9129C"/>
    <w:rsid w:val="00E913A3"/>
    <w:rsid w:val="00EA4530"/>
    <w:rsid w:val="00EB24EF"/>
    <w:rsid w:val="00EF08D6"/>
    <w:rsid w:val="00EF0DE2"/>
    <w:rsid w:val="00EF1290"/>
    <w:rsid w:val="00F131FB"/>
    <w:rsid w:val="00F21A10"/>
    <w:rsid w:val="00F30767"/>
    <w:rsid w:val="00F45679"/>
    <w:rsid w:val="00FB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73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DE2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E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B7E14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7E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B7E14"/>
    <w:rPr>
      <w:rFonts w:ascii="Times New Roman" w:eastAsia="SimSu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DE2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E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B7E14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7E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B7E14"/>
    <w:rPr>
      <w:rFonts w:ascii="Times New Roman" w:eastAsia="SimSu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</dc:creator>
  <cp:keywords/>
  <dc:description/>
  <cp:lastModifiedBy>infectious-2022</cp:lastModifiedBy>
  <cp:revision>4</cp:revision>
  <dcterms:created xsi:type="dcterms:W3CDTF">2022-11-01T04:03:00Z</dcterms:created>
  <dcterms:modified xsi:type="dcterms:W3CDTF">2023-02-03T09:12:00Z</dcterms:modified>
</cp:coreProperties>
</file>