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70"/>
        <w:rPr>
          <w:rFonts w:ascii="Times New Roman"/>
        </w:rPr>
      </w:pPr>
      <w:r>
        <w:rPr>
          <w:rFonts w:ascii="Times New Roman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532.6pt;height:40.050pt;mso-position-horizontal-relative:char;mso-position-vertical-relative:line" type="#_x0000_t202" filled="true" fillcolor="#f6f3ef" stroked="false">
            <w10:anchorlock/>
            <v:textbox inset="0,0,0,0">
              <w:txbxContent>
                <w:p>
                  <w:pPr>
                    <w:spacing w:line="256" w:lineRule="auto" w:before="12"/>
                    <w:ind w:left="30" w:right="0" w:firstLine="0"/>
                    <w:jc w:val="left"/>
                    <w:rPr>
                      <w:rFonts w:ascii="Cambria Math"/>
                      <w:sz w:val="32"/>
                    </w:rPr>
                  </w:pPr>
                  <w:r>
                    <w:rPr>
                      <w:rFonts w:ascii="Cambria Math"/>
                      <w:color w:val="0C7E8A"/>
                      <w:sz w:val="32"/>
                    </w:rPr>
                    <w:t>Bullying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and</w:t>
                  </w:r>
                  <w:r>
                    <w:rPr>
                      <w:rFonts w:ascii="Cambria Math"/>
                      <w:color w:val="0C7E8A"/>
                      <w:spacing w:val="7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Being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Bullied;</w:t>
                  </w:r>
                  <w:r>
                    <w:rPr>
                      <w:rFonts w:ascii="Cambria Math"/>
                      <w:color w:val="0C7E8A"/>
                      <w:spacing w:val="7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How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Much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Can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It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Increase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the</w:t>
                  </w:r>
                  <w:r>
                    <w:rPr>
                      <w:rFonts w:ascii="Cambria Math"/>
                      <w:color w:val="0C7E8A"/>
                      <w:spacing w:val="6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Risk</w:t>
                  </w:r>
                  <w:r>
                    <w:rPr>
                      <w:rFonts w:ascii="Cambria Math"/>
                      <w:color w:val="0C7E8A"/>
                      <w:spacing w:val="9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of</w:t>
                  </w:r>
                  <w:r>
                    <w:rPr>
                      <w:rFonts w:ascii="Cambria Math"/>
                      <w:color w:val="0C7E8A"/>
                      <w:spacing w:val="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Depression</w:t>
                  </w:r>
                  <w:r>
                    <w:rPr>
                      <w:rFonts w:ascii="Cambria Math"/>
                      <w:color w:val="0C7E8A"/>
                      <w:spacing w:val="-68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and</w:t>
                  </w:r>
                  <w:r>
                    <w:rPr>
                      <w:rFonts w:ascii="Cambria Math"/>
                      <w:color w:val="0C7E8A"/>
                      <w:spacing w:val="-2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Anxiety</w:t>
                  </w:r>
                  <w:r>
                    <w:rPr>
                      <w:rFonts w:ascii="Cambria Math"/>
                      <w:color w:val="0C7E8A"/>
                      <w:spacing w:val="-2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in</w:t>
                  </w:r>
                  <w:r>
                    <w:rPr>
                      <w:rFonts w:ascii="Cambria Math"/>
                      <w:color w:val="0C7E8A"/>
                      <w:spacing w:val="-1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Students?</w:t>
                  </w:r>
                  <w:r>
                    <w:rPr>
                      <w:rFonts w:ascii="Cambria Math"/>
                      <w:color w:val="0C7E8A"/>
                      <w:spacing w:val="-2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A</w:t>
                  </w:r>
                  <w:r>
                    <w:rPr>
                      <w:rFonts w:ascii="Cambria Math"/>
                      <w:color w:val="0C7E8A"/>
                      <w:spacing w:val="-2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Multilevel</w:t>
                  </w:r>
                  <w:r>
                    <w:rPr>
                      <w:rFonts w:ascii="Cambria Math"/>
                      <w:color w:val="0C7E8A"/>
                      <w:spacing w:val="-2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Fixed-effect</w:t>
                  </w:r>
                  <w:r>
                    <w:rPr>
                      <w:rFonts w:ascii="Cambria Math"/>
                      <w:color w:val="0C7E8A"/>
                      <w:spacing w:val="-3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Model</w:t>
                  </w:r>
                  <w:r>
                    <w:rPr>
                      <w:rFonts w:ascii="Cambria Math"/>
                      <w:color w:val="0C7E8A"/>
                      <w:spacing w:val="-2"/>
                      <w:sz w:val="32"/>
                    </w:rPr>
                    <w:t> </w:t>
                  </w:r>
                  <w:r>
                    <w:rPr>
                      <w:rFonts w:ascii="Cambria Math"/>
                      <w:color w:val="0C7E8A"/>
                      <w:sz w:val="32"/>
                    </w:rPr>
                    <w:t>Analysis</w:t>
                  </w:r>
                </w:p>
              </w:txbxContent>
            </v:textbox>
            <v:fill type="solid"/>
          </v:shape>
        </w:pict>
      </w:r>
      <w:r>
        <w:rPr>
          <w:rFonts w:ascii="Times New Roman"/>
        </w:rPr>
      </w:r>
    </w:p>
    <w:p>
      <w:pPr>
        <w:spacing w:after="0"/>
        <w:rPr>
          <w:rFonts w:ascii="Times New Roman"/>
        </w:rPr>
        <w:sectPr>
          <w:type w:val="continuous"/>
          <w:pgSz w:w="11910" w:h="16840"/>
          <w:pgMar w:top="1020" w:bottom="280" w:left="520" w:right="460"/>
        </w:sectPr>
      </w:pPr>
    </w:p>
    <w:p>
      <w:pPr>
        <w:spacing w:line="230" w:lineRule="auto" w:before="43"/>
        <w:ind w:left="200" w:right="511" w:firstLine="0"/>
        <w:jc w:val="both"/>
        <w:rPr>
          <w:rFonts w:ascii="Arial MT"/>
          <w:sz w:val="18"/>
        </w:rPr>
      </w:pPr>
      <w:r>
        <w:rPr>
          <w:rFonts w:ascii="Arial MT"/>
          <w:sz w:val="18"/>
        </w:rPr>
        <w:t>Marzieh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Nojomi,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MD,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MPH,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Preventive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Medicine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and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Public Health Research Center, Iran University of Medical</w:t>
      </w:r>
      <w:r>
        <w:rPr>
          <w:rFonts w:ascii="Arial MT"/>
          <w:spacing w:val="-47"/>
          <w:sz w:val="18"/>
        </w:rPr>
        <w:t> </w:t>
      </w:r>
      <w:r>
        <w:rPr>
          <w:rFonts w:ascii="Arial MT"/>
          <w:sz w:val="18"/>
        </w:rPr>
        <w:t>Sciences,</w:t>
      </w:r>
      <w:r>
        <w:rPr>
          <w:rFonts w:ascii="Arial MT"/>
          <w:spacing w:val="-1"/>
          <w:sz w:val="18"/>
        </w:rPr>
        <w:t> </w:t>
      </w:r>
      <w:r>
        <w:rPr>
          <w:rFonts w:ascii="Arial MT"/>
          <w:sz w:val="18"/>
        </w:rPr>
        <w:t>Tehran,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Iran</w:t>
      </w:r>
    </w:p>
    <w:p>
      <w:pPr>
        <w:spacing w:line="230" w:lineRule="auto" w:before="72"/>
        <w:ind w:left="200" w:right="513" w:firstLine="0"/>
        <w:jc w:val="both"/>
        <w:rPr>
          <w:rFonts w:ascii="Arial MT"/>
          <w:sz w:val="18"/>
        </w:rPr>
      </w:pPr>
      <w:r>
        <w:rPr>
          <w:rFonts w:ascii="Arial MT"/>
          <w:sz w:val="18"/>
        </w:rPr>
        <w:t>Ebrahim Babaee, PhD, Preventive Medicine and Public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Health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Research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Center,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Iran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University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of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medical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Sciences,</w:t>
      </w:r>
      <w:r>
        <w:rPr>
          <w:rFonts w:ascii="Arial MT"/>
          <w:spacing w:val="-1"/>
          <w:sz w:val="18"/>
        </w:rPr>
        <w:t> </w:t>
      </w:r>
      <w:r>
        <w:rPr>
          <w:rFonts w:ascii="Arial MT"/>
          <w:sz w:val="18"/>
        </w:rPr>
        <w:t>Tehran,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Iran</w:t>
      </w:r>
    </w:p>
    <w:p>
      <w:pPr>
        <w:pStyle w:val="Heading1"/>
        <w:spacing w:before="149"/>
        <w:ind w:left="200"/>
        <w:jc w:val="both"/>
      </w:pPr>
      <w:r>
        <w:rPr>
          <w:color w:val="BE5A13"/>
        </w:rPr>
        <w:t>Abstract (300</w:t>
      </w:r>
      <w:r>
        <w:rPr>
          <w:color w:val="BE5A13"/>
          <w:spacing w:val="-3"/>
        </w:rPr>
        <w:t> </w:t>
      </w:r>
      <w:r>
        <w:rPr>
          <w:color w:val="BE5A13"/>
        </w:rPr>
        <w:t>word limit)</w:t>
      </w:r>
    </w:p>
    <w:p>
      <w:pPr>
        <w:pStyle w:val="Heading2"/>
      </w:pPr>
      <w:r>
        <w:rPr>
          <w:color w:val="0C7E8A"/>
        </w:rPr>
        <w:t>Background</w:t>
      </w:r>
      <w:r>
        <w:rPr>
          <w:color w:val="0C7E8A"/>
          <w:spacing w:val="-3"/>
        </w:rPr>
        <w:t> </w:t>
      </w:r>
      <w:r>
        <w:rPr>
          <w:color w:val="0C7E8A"/>
        </w:rPr>
        <w:t>&amp;</w:t>
      </w:r>
      <w:r>
        <w:rPr>
          <w:color w:val="0C7E8A"/>
          <w:spacing w:val="-1"/>
        </w:rPr>
        <w:t> </w:t>
      </w:r>
      <w:r>
        <w:rPr>
          <w:color w:val="0C7E8A"/>
        </w:rPr>
        <w:t>Objective:</w:t>
      </w:r>
    </w:p>
    <w:p>
      <w:pPr>
        <w:pStyle w:val="BodyText"/>
        <w:spacing w:line="230" w:lineRule="auto"/>
        <w:ind w:left="100"/>
        <w:jc w:val="both"/>
      </w:pPr>
      <w:r>
        <w:rPr>
          <w:w w:val="90"/>
        </w:rPr>
        <w:t>School violence as a health issue is a global concern. One of the</w:t>
      </w:r>
      <w:r>
        <w:rPr>
          <w:spacing w:val="1"/>
          <w:w w:val="90"/>
        </w:rPr>
        <w:t> </w:t>
      </w:r>
      <w:r>
        <w:rPr>
          <w:w w:val="95"/>
        </w:rPr>
        <w:t>problems that affect the health and well-being of children at</w:t>
      </w:r>
      <w:r>
        <w:rPr>
          <w:spacing w:val="1"/>
          <w:w w:val="95"/>
        </w:rPr>
        <w:t> </w:t>
      </w:r>
      <w:r>
        <w:rPr>
          <w:w w:val="95"/>
        </w:rPr>
        <w:t>school is bullying. In this study, we aimed to examine the</w:t>
      </w:r>
      <w:r>
        <w:rPr>
          <w:spacing w:val="1"/>
          <w:w w:val="95"/>
        </w:rPr>
        <w:t> </w:t>
      </w:r>
      <w:r>
        <w:rPr>
          <w:w w:val="95"/>
        </w:rPr>
        <w:t>association of depression and anxiety with bullying among 6 -</w:t>
      </w:r>
      <w:r>
        <w:rPr>
          <w:spacing w:val="1"/>
          <w:w w:val="95"/>
        </w:rPr>
        <w:t> </w:t>
      </w:r>
      <w:r>
        <w:rPr>
          <w:w w:val="95"/>
        </w:rPr>
        <w:t>19-year-old students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2"/>
          <w:w w:val="95"/>
        </w:rPr>
        <w:t> </w:t>
      </w:r>
      <w:r>
        <w:rPr>
          <w:w w:val="95"/>
        </w:rPr>
        <w:t>Iran.</w:t>
      </w:r>
    </w:p>
    <w:p>
      <w:pPr>
        <w:pStyle w:val="Heading2"/>
        <w:spacing w:before="10"/>
      </w:pPr>
      <w:r>
        <w:rPr>
          <w:color w:val="0C7E8A"/>
        </w:rPr>
        <w:t>Methods:</w:t>
      </w:r>
    </w:p>
    <w:p>
      <w:pPr>
        <w:pStyle w:val="BodyText"/>
        <w:spacing w:line="230" w:lineRule="auto"/>
        <w:ind w:left="100" w:right="1"/>
        <w:jc w:val="both"/>
      </w:pPr>
      <w:r>
        <w:rPr>
          <w:w w:val="90"/>
        </w:rPr>
        <w:t>This study was conducted in Tehran, Iran, in 2020. A multistage</w:t>
      </w:r>
      <w:r>
        <w:rPr>
          <w:spacing w:val="1"/>
          <w:w w:val="90"/>
        </w:rPr>
        <w:t> </w:t>
      </w:r>
      <w:r>
        <w:rPr>
          <w:w w:val="90"/>
        </w:rPr>
        <w:t>cluster sampling method was used, and 54,550 students aged six</w:t>
      </w:r>
      <w:r>
        <w:rPr>
          <w:spacing w:val="-45"/>
          <w:w w:val="90"/>
        </w:rPr>
        <w:t> </w:t>
      </w:r>
      <w:r>
        <w:rPr>
          <w:w w:val="95"/>
        </w:rPr>
        <w:t>to 19 years of both sexes, from urban and rural areas, were</w:t>
      </w:r>
      <w:r>
        <w:rPr>
          <w:spacing w:val="1"/>
          <w:w w:val="95"/>
        </w:rPr>
        <w:t> </w:t>
      </w:r>
      <w:r>
        <w:rPr>
          <w:w w:val="95"/>
        </w:rPr>
        <w:t>selected.</w:t>
      </w:r>
      <w:r>
        <w:rPr>
          <w:spacing w:val="1"/>
          <w:w w:val="95"/>
        </w:rPr>
        <w:t> </w:t>
      </w:r>
      <w:r>
        <w:rPr>
          <w:w w:val="95"/>
        </w:rPr>
        <w:t>Standard</w:t>
      </w:r>
      <w:r>
        <w:rPr>
          <w:spacing w:val="1"/>
          <w:w w:val="95"/>
        </w:rPr>
        <w:t> </w:t>
      </w:r>
      <w:r>
        <w:rPr>
          <w:w w:val="95"/>
        </w:rPr>
        <w:t>questionnaires,</w:t>
      </w:r>
      <w:r>
        <w:rPr>
          <w:spacing w:val="1"/>
          <w:w w:val="95"/>
        </w:rPr>
        <w:t> </w:t>
      </w:r>
      <w:r>
        <w:rPr>
          <w:w w:val="95"/>
        </w:rPr>
        <w:t>according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WHO</w:t>
      </w:r>
      <w:r>
        <w:rPr>
          <w:spacing w:val="1"/>
          <w:w w:val="95"/>
        </w:rPr>
        <w:t> </w:t>
      </w:r>
      <w:r>
        <w:rPr>
          <w:w w:val="90"/>
        </w:rPr>
        <w:t>recommendations, were used for data collection. Involvement in</w:t>
      </w:r>
      <w:r>
        <w:rPr>
          <w:spacing w:val="1"/>
          <w:w w:val="90"/>
        </w:rPr>
        <w:t> </w:t>
      </w:r>
      <w:r>
        <w:rPr>
          <w:w w:val="90"/>
        </w:rPr>
        <w:t>bullying in the past 12 months and anxiety and depression status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in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both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bully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and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bullied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students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were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investigated</w:t>
      </w:r>
      <w:r>
        <w:rPr>
          <w:spacing w:val="-8"/>
          <w:w w:val="95"/>
        </w:rPr>
        <w:t> </w:t>
      </w:r>
      <w:r>
        <w:rPr>
          <w:w w:val="95"/>
        </w:rPr>
        <w:t>by</w:t>
      </w:r>
      <w:r>
        <w:rPr>
          <w:spacing w:val="-8"/>
          <w:w w:val="95"/>
        </w:rPr>
        <w:t> </w:t>
      </w:r>
      <w:r>
        <w:rPr>
          <w:w w:val="95"/>
        </w:rPr>
        <w:t>standard</w:t>
      </w:r>
      <w:r>
        <w:rPr>
          <w:spacing w:val="-48"/>
          <w:w w:val="95"/>
        </w:rPr>
        <w:t> </w:t>
      </w:r>
      <w:r>
        <w:rPr>
          <w:w w:val="90"/>
        </w:rPr>
        <w:t>questionnaires. To compare the psychiatric problems and violent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behavior, the Wald chi-square test was applied. </w:t>
      </w:r>
      <w:r>
        <w:rPr>
          <w:w w:val="95"/>
        </w:rPr>
        <w:t>The multilevel</w:t>
      </w:r>
      <w:r>
        <w:rPr>
          <w:spacing w:val="1"/>
          <w:w w:val="95"/>
        </w:rPr>
        <w:t> </w:t>
      </w:r>
      <w:r>
        <w:rPr>
          <w:w w:val="90"/>
        </w:rPr>
        <w:t>fixed-effect model and logistic multivariate regression were used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to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adjust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5"/>
          <w:w w:val="95"/>
        </w:rPr>
        <w:t> </w:t>
      </w:r>
      <w:r>
        <w:rPr>
          <w:w w:val="95"/>
        </w:rPr>
        <w:t>multilevel</w:t>
      </w:r>
      <w:r>
        <w:rPr>
          <w:spacing w:val="-4"/>
          <w:w w:val="95"/>
        </w:rPr>
        <w:t> </w:t>
      </w:r>
      <w:r>
        <w:rPr>
          <w:w w:val="95"/>
        </w:rPr>
        <w:t>effects</w:t>
      </w:r>
      <w:r>
        <w:rPr>
          <w:spacing w:val="-5"/>
          <w:w w:val="95"/>
        </w:rPr>
        <w:t> </w:t>
      </w:r>
      <w:r>
        <w:rPr>
          <w:w w:val="95"/>
        </w:rPr>
        <w:t>and</w:t>
      </w:r>
      <w:r>
        <w:rPr>
          <w:spacing w:val="-6"/>
          <w:w w:val="95"/>
        </w:rPr>
        <w:t> </w:t>
      </w:r>
      <w:r>
        <w:rPr>
          <w:w w:val="95"/>
        </w:rPr>
        <w:t>estimate</w:t>
      </w:r>
      <w:r>
        <w:rPr>
          <w:spacing w:val="-5"/>
          <w:w w:val="95"/>
        </w:rPr>
        <w:t> </w:t>
      </w:r>
      <w:r>
        <w:rPr>
          <w:w w:val="95"/>
        </w:rPr>
        <w:t>the</w:t>
      </w:r>
      <w:r>
        <w:rPr>
          <w:spacing w:val="-5"/>
          <w:w w:val="95"/>
        </w:rPr>
        <w:t> </w:t>
      </w:r>
      <w:r>
        <w:rPr>
          <w:w w:val="95"/>
        </w:rPr>
        <w:t>odds</w:t>
      </w:r>
      <w:r>
        <w:rPr>
          <w:spacing w:val="-5"/>
          <w:w w:val="95"/>
        </w:rPr>
        <w:t> </w:t>
      </w:r>
      <w:r>
        <w:rPr>
          <w:w w:val="95"/>
        </w:rPr>
        <w:t>of</w:t>
      </w:r>
      <w:r>
        <w:rPr>
          <w:spacing w:val="-4"/>
          <w:w w:val="95"/>
        </w:rPr>
        <w:t> </w:t>
      </w:r>
      <w:r>
        <w:rPr>
          <w:w w:val="95"/>
        </w:rPr>
        <w:t>anxiety</w:t>
      </w:r>
      <w:r>
        <w:rPr>
          <w:spacing w:val="-48"/>
          <w:w w:val="95"/>
        </w:rPr>
        <w:t> </w:t>
      </w:r>
      <w:r>
        <w:rPr>
          <w:w w:val="90"/>
        </w:rPr>
        <w:t>and depression in both bully and bullied students. All statistical</w:t>
      </w:r>
      <w:r>
        <w:rPr>
          <w:spacing w:val="1"/>
          <w:w w:val="90"/>
        </w:rPr>
        <w:t> </w:t>
      </w:r>
      <w:r>
        <w:rPr>
          <w:w w:val="95"/>
        </w:rPr>
        <w:t>analyses</w:t>
      </w:r>
      <w:r>
        <w:rPr>
          <w:spacing w:val="-4"/>
          <w:w w:val="95"/>
        </w:rPr>
        <w:t> </w:t>
      </w:r>
      <w:r>
        <w:rPr>
          <w:w w:val="95"/>
        </w:rPr>
        <w:t>were</w:t>
      </w:r>
      <w:r>
        <w:rPr>
          <w:spacing w:val="-5"/>
          <w:w w:val="95"/>
        </w:rPr>
        <w:t> </w:t>
      </w:r>
      <w:r>
        <w:rPr>
          <w:w w:val="95"/>
        </w:rPr>
        <w:t>performed</w:t>
      </w:r>
      <w:r>
        <w:rPr>
          <w:spacing w:val="-5"/>
          <w:w w:val="95"/>
        </w:rPr>
        <w:t> </w:t>
      </w:r>
      <w:r>
        <w:rPr>
          <w:w w:val="95"/>
        </w:rPr>
        <w:t>at</w:t>
      </w:r>
      <w:r>
        <w:rPr>
          <w:spacing w:val="-4"/>
          <w:w w:val="95"/>
        </w:rPr>
        <w:t> </w:t>
      </w:r>
      <w:r>
        <w:rPr>
          <w:w w:val="95"/>
        </w:rPr>
        <w:t>a</w:t>
      </w:r>
      <w:r>
        <w:rPr>
          <w:spacing w:val="-4"/>
          <w:w w:val="95"/>
        </w:rPr>
        <w:t> </w:t>
      </w:r>
      <w:r>
        <w:rPr>
          <w:w w:val="95"/>
        </w:rPr>
        <w:t>95%</w:t>
      </w:r>
      <w:r>
        <w:rPr>
          <w:spacing w:val="-4"/>
          <w:w w:val="95"/>
        </w:rPr>
        <w:t> </w:t>
      </w:r>
      <w:r>
        <w:rPr>
          <w:w w:val="95"/>
        </w:rPr>
        <w:t>significance</w:t>
      </w:r>
      <w:r>
        <w:rPr>
          <w:spacing w:val="-3"/>
          <w:w w:val="95"/>
        </w:rPr>
        <w:t> </w:t>
      </w:r>
      <w:r>
        <w:rPr>
          <w:w w:val="95"/>
        </w:rPr>
        <w:t>level.</w:t>
      </w:r>
    </w:p>
    <w:p>
      <w:pPr>
        <w:pStyle w:val="Heading2"/>
        <w:spacing w:line="228" w:lineRule="exact" w:before="12"/>
      </w:pPr>
      <w:r>
        <w:rPr>
          <w:color w:val="0C7E8A"/>
        </w:rPr>
        <w:t>Results:</w:t>
      </w:r>
    </w:p>
    <w:p>
      <w:pPr>
        <w:pStyle w:val="BodyText"/>
        <w:spacing w:line="215" w:lineRule="exact"/>
        <w:ind w:left="155"/>
        <w:jc w:val="both"/>
      </w:pPr>
      <w:r>
        <w:rPr>
          <w:w w:val="95"/>
        </w:rPr>
        <w:t>Of</w:t>
      </w:r>
      <w:r>
        <w:rPr>
          <w:spacing w:val="-8"/>
          <w:w w:val="95"/>
        </w:rPr>
        <w:t> </w:t>
      </w:r>
      <w:r>
        <w:rPr>
          <w:w w:val="95"/>
        </w:rPr>
        <w:t>the</w:t>
      </w:r>
      <w:r>
        <w:rPr>
          <w:spacing w:val="-8"/>
          <w:w w:val="95"/>
        </w:rPr>
        <w:t> </w:t>
      </w:r>
      <w:r>
        <w:rPr>
          <w:w w:val="95"/>
        </w:rPr>
        <w:t>total</w:t>
      </w:r>
      <w:r>
        <w:rPr>
          <w:spacing w:val="-8"/>
          <w:w w:val="95"/>
        </w:rPr>
        <w:t> </w:t>
      </w:r>
      <w:r>
        <w:rPr>
          <w:w w:val="95"/>
        </w:rPr>
        <w:t>students,</w:t>
      </w:r>
      <w:r>
        <w:rPr>
          <w:spacing w:val="-8"/>
          <w:w w:val="95"/>
        </w:rPr>
        <w:t> </w:t>
      </w:r>
      <w:r>
        <w:rPr>
          <w:w w:val="95"/>
        </w:rPr>
        <w:t>50.9%</w:t>
      </w:r>
      <w:r>
        <w:rPr>
          <w:spacing w:val="-9"/>
          <w:w w:val="95"/>
        </w:rPr>
        <w:t> </w:t>
      </w:r>
      <w:r>
        <w:rPr>
          <w:w w:val="95"/>
        </w:rPr>
        <w:t>were</w:t>
      </w:r>
      <w:r>
        <w:rPr>
          <w:spacing w:val="-8"/>
          <w:w w:val="95"/>
        </w:rPr>
        <w:t> </w:t>
      </w:r>
      <w:r>
        <w:rPr>
          <w:w w:val="95"/>
        </w:rPr>
        <w:t>males,</w:t>
      </w:r>
      <w:r>
        <w:rPr>
          <w:spacing w:val="-7"/>
          <w:w w:val="95"/>
        </w:rPr>
        <w:t> </w:t>
      </w:r>
      <w:r>
        <w:rPr>
          <w:w w:val="95"/>
        </w:rPr>
        <w:t>29.45%</w:t>
      </w:r>
      <w:r>
        <w:rPr>
          <w:spacing w:val="-9"/>
          <w:w w:val="95"/>
        </w:rPr>
        <w:t> </w:t>
      </w:r>
      <w:r>
        <w:rPr>
          <w:w w:val="95"/>
        </w:rPr>
        <w:t>were</w:t>
      </w:r>
      <w:r>
        <w:rPr>
          <w:spacing w:val="-8"/>
          <w:w w:val="95"/>
        </w:rPr>
        <w:t> </w:t>
      </w:r>
      <w:r>
        <w:rPr>
          <w:w w:val="95"/>
        </w:rPr>
        <w:t>in</w:t>
      </w:r>
      <w:r>
        <w:rPr>
          <w:spacing w:val="-9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6</w:t>
      </w:r>
    </w:p>
    <w:p>
      <w:pPr>
        <w:pStyle w:val="BodyText"/>
        <w:spacing w:line="230" w:lineRule="auto" w:before="3"/>
        <w:ind w:left="100" w:right="1"/>
        <w:jc w:val="both"/>
      </w:pPr>
      <w:r>
        <w:rPr/>
        <w:t>-</w:t>
      </w:r>
      <w:r>
        <w:rPr>
          <w:spacing w:val="-4"/>
        </w:rPr>
        <w:t> </w:t>
      </w:r>
      <w:r>
        <w:rPr/>
        <w:t>10</w:t>
      </w:r>
      <w:r>
        <w:rPr>
          <w:spacing w:val="-5"/>
        </w:rPr>
        <w:t> </w:t>
      </w:r>
      <w:r>
        <w:rPr/>
        <w:t>age</w:t>
      </w:r>
      <w:r>
        <w:rPr>
          <w:spacing w:val="-4"/>
        </w:rPr>
        <w:t> </w:t>
      </w:r>
      <w:r>
        <w:rPr/>
        <w:t>group,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70.55%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11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19</w:t>
      </w:r>
      <w:r>
        <w:rPr>
          <w:spacing w:val="-5"/>
        </w:rPr>
        <w:t> </w:t>
      </w:r>
      <w:r>
        <w:rPr/>
        <w:t>age</w:t>
      </w:r>
      <w:r>
        <w:rPr>
          <w:spacing w:val="-4"/>
        </w:rPr>
        <w:t> </w:t>
      </w:r>
      <w:r>
        <w:rPr/>
        <w:t>group.</w:t>
      </w:r>
      <w:r>
        <w:rPr>
          <w:spacing w:val="-5"/>
        </w:rPr>
        <w:t> </w:t>
      </w:r>
      <w:r>
        <w:rPr/>
        <w:t>There</w:t>
      </w:r>
      <w:r>
        <w:rPr>
          <w:spacing w:val="-50"/>
        </w:rPr>
        <w:t> </w:t>
      </w:r>
      <w:r>
        <w:rPr>
          <w:spacing w:val="-1"/>
          <w:w w:val="95"/>
        </w:rPr>
        <w:t>was a significant difference in depression </w:t>
      </w:r>
      <w:r>
        <w:rPr>
          <w:w w:val="95"/>
        </w:rPr>
        <w:t>and anxiety between</w:t>
      </w:r>
      <w:r>
        <w:rPr>
          <w:spacing w:val="-48"/>
          <w:w w:val="95"/>
        </w:rPr>
        <w:t> </w:t>
      </w:r>
      <w:r>
        <w:rPr>
          <w:spacing w:val="-1"/>
          <w:w w:val="95"/>
        </w:rPr>
        <w:t>boys</w:t>
      </w:r>
      <w:r>
        <w:rPr>
          <w:spacing w:val="-3"/>
          <w:w w:val="95"/>
        </w:rPr>
        <w:t> </w:t>
      </w:r>
      <w:r>
        <w:rPr>
          <w:w w:val="95"/>
        </w:rPr>
        <w:t>and</w:t>
      </w:r>
      <w:r>
        <w:rPr>
          <w:spacing w:val="-4"/>
          <w:w w:val="95"/>
        </w:rPr>
        <w:t> </w:t>
      </w:r>
      <w:r>
        <w:rPr>
          <w:w w:val="95"/>
        </w:rPr>
        <w:t>girls</w:t>
      </w:r>
      <w:r>
        <w:rPr>
          <w:spacing w:val="-3"/>
          <w:w w:val="95"/>
        </w:rPr>
        <w:t> </w:t>
      </w:r>
      <w:r>
        <w:rPr>
          <w:w w:val="95"/>
        </w:rPr>
        <w:t>in</w:t>
      </w:r>
      <w:r>
        <w:rPr>
          <w:spacing w:val="-3"/>
          <w:w w:val="95"/>
        </w:rPr>
        <w:t> </w:t>
      </w:r>
      <w:r>
        <w:rPr>
          <w:w w:val="95"/>
        </w:rPr>
        <w:t>both</w:t>
      </w:r>
      <w:r>
        <w:rPr>
          <w:spacing w:val="-3"/>
          <w:w w:val="95"/>
        </w:rPr>
        <w:t> </w:t>
      </w:r>
      <w:r>
        <w:rPr>
          <w:w w:val="95"/>
        </w:rPr>
        <w:t>age</w:t>
      </w:r>
      <w:r>
        <w:rPr>
          <w:spacing w:val="-3"/>
          <w:w w:val="95"/>
        </w:rPr>
        <w:t> </w:t>
      </w:r>
      <w:r>
        <w:rPr>
          <w:w w:val="95"/>
        </w:rPr>
        <w:t>groups</w:t>
      </w:r>
      <w:r>
        <w:rPr>
          <w:spacing w:val="-2"/>
          <w:w w:val="95"/>
        </w:rPr>
        <w:t> </w:t>
      </w:r>
      <w:r>
        <w:rPr>
          <w:w w:val="95"/>
        </w:rPr>
        <w:t>(P</w:t>
      </w:r>
      <w:r>
        <w:rPr>
          <w:spacing w:val="-3"/>
          <w:w w:val="95"/>
        </w:rPr>
        <w:t> </w:t>
      </w:r>
      <w:r>
        <w:rPr>
          <w:w w:val="95"/>
        </w:rPr>
        <w:t>&lt;</w:t>
      </w:r>
      <w:r>
        <w:rPr>
          <w:spacing w:val="-3"/>
          <w:w w:val="95"/>
        </w:rPr>
        <w:t> </w:t>
      </w:r>
      <w:r>
        <w:rPr>
          <w:w w:val="95"/>
        </w:rPr>
        <w:t>0.001).</w:t>
      </w:r>
      <w:r>
        <w:rPr>
          <w:spacing w:val="-3"/>
          <w:w w:val="95"/>
        </w:rPr>
        <w:t> </w:t>
      </w:r>
      <w:r>
        <w:rPr>
          <w:w w:val="95"/>
        </w:rPr>
        <w:t>Amongst</w:t>
      </w:r>
      <w:r>
        <w:rPr>
          <w:spacing w:val="-4"/>
          <w:w w:val="95"/>
        </w:rPr>
        <w:t> </w:t>
      </w:r>
      <w:r>
        <w:rPr>
          <w:w w:val="95"/>
        </w:rPr>
        <w:t>males,</w:t>
      </w:r>
      <w:r>
        <w:rPr>
          <w:spacing w:val="-48"/>
          <w:w w:val="95"/>
        </w:rPr>
        <w:t> </w:t>
      </w:r>
      <w:r>
        <w:rPr>
          <w:w w:val="95"/>
        </w:rPr>
        <w:t>11.7%</w:t>
      </w:r>
      <w:r>
        <w:rPr>
          <w:spacing w:val="21"/>
          <w:w w:val="95"/>
        </w:rPr>
        <w:t> </w:t>
      </w:r>
      <w:r>
        <w:rPr>
          <w:w w:val="95"/>
        </w:rPr>
        <w:t>of</w:t>
      </w:r>
      <w:r>
        <w:rPr>
          <w:spacing w:val="24"/>
          <w:w w:val="95"/>
        </w:rPr>
        <w:t> </w:t>
      </w:r>
      <w:r>
        <w:rPr>
          <w:w w:val="95"/>
        </w:rPr>
        <w:t>the</w:t>
      </w:r>
      <w:r>
        <w:rPr>
          <w:spacing w:val="22"/>
          <w:w w:val="95"/>
        </w:rPr>
        <w:t> </w:t>
      </w:r>
      <w:r>
        <w:rPr>
          <w:w w:val="95"/>
        </w:rPr>
        <w:t>students</w:t>
      </w:r>
      <w:r>
        <w:rPr>
          <w:spacing w:val="22"/>
          <w:w w:val="95"/>
        </w:rPr>
        <w:t> </w:t>
      </w:r>
      <w:r>
        <w:rPr>
          <w:w w:val="95"/>
        </w:rPr>
        <w:t>aged</w:t>
      </w:r>
      <w:r>
        <w:rPr>
          <w:spacing w:val="22"/>
          <w:w w:val="95"/>
        </w:rPr>
        <w:t> </w:t>
      </w:r>
      <w:r>
        <w:rPr>
          <w:w w:val="95"/>
        </w:rPr>
        <w:t>6</w:t>
      </w:r>
      <w:r>
        <w:rPr>
          <w:spacing w:val="23"/>
          <w:w w:val="95"/>
        </w:rPr>
        <w:t> </w:t>
      </w:r>
      <w:r>
        <w:rPr>
          <w:w w:val="95"/>
        </w:rPr>
        <w:t>-</w:t>
      </w:r>
      <w:r>
        <w:rPr>
          <w:spacing w:val="24"/>
          <w:w w:val="95"/>
        </w:rPr>
        <w:t> </w:t>
      </w:r>
      <w:r>
        <w:rPr>
          <w:w w:val="95"/>
        </w:rPr>
        <w:t>10</w:t>
      </w:r>
      <w:r>
        <w:rPr>
          <w:spacing w:val="22"/>
          <w:w w:val="95"/>
        </w:rPr>
        <w:t> </w:t>
      </w:r>
      <w:r>
        <w:rPr>
          <w:w w:val="95"/>
        </w:rPr>
        <w:t>and</w:t>
      </w:r>
      <w:r>
        <w:rPr>
          <w:spacing w:val="21"/>
          <w:w w:val="95"/>
        </w:rPr>
        <w:t> </w:t>
      </w:r>
      <w:r>
        <w:rPr>
          <w:w w:val="95"/>
        </w:rPr>
        <w:t>11%</w:t>
      </w:r>
      <w:r>
        <w:rPr>
          <w:spacing w:val="23"/>
          <w:w w:val="95"/>
        </w:rPr>
        <w:t> </w:t>
      </w:r>
      <w:r>
        <w:rPr>
          <w:w w:val="95"/>
        </w:rPr>
        <w:t>of</w:t>
      </w:r>
      <w:r>
        <w:rPr>
          <w:spacing w:val="23"/>
          <w:w w:val="95"/>
        </w:rPr>
        <w:t> </w:t>
      </w:r>
      <w:r>
        <w:rPr>
          <w:w w:val="95"/>
        </w:rPr>
        <w:t>the</w:t>
      </w:r>
      <w:r>
        <w:rPr>
          <w:spacing w:val="22"/>
          <w:w w:val="95"/>
        </w:rPr>
        <w:t> </w:t>
      </w:r>
      <w:r>
        <w:rPr>
          <w:w w:val="95"/>
        </w:rPr>
        <w:t>students</w:t>
      </w:r>
    </w:p>
    <w:p>
      <w:pPr>
        <w:pStyle w:val="BodyText"/>
        <w:spacing w:line="230" w:lineRule="auto" w:before="2"/>
        <w:ind w:left="100"/>
        <w:jc w:val="both"/>
      </w:pPr>
      <w:r>
        <w:rPr/>
        <w:t>aged 11 - 19 and in females, 7.7% aged 6 - 10 and 10.4%</w:t>
      </w:r>
      <w:r>
        <w:rPr>
          <w:spacing w:val="1"/>
        </w:rPr>
        <w:t> </w:t>
      </w:r>
      <w:r>
        <w:rPr>
          <w:w w:val="95"/>
        </w:rPr>
        <w:t>aged</w:t>
      </w:r>
      <w:r>
        <w:rPr>
          <w:spacing w:val="-3"/>
          <w:w w:val="95"/>
        </w:rPr>
        <w:t> </w:t>
      </w:r>
      <w:r>
        <w:rPr>
          <w:w w:val="95"/>
        </w:rPr>
        <w:t>11</w:t>
      </w:r>
      <w:r>
        <w:rPr>
          <w:spacing w:val="-4"/>
          <w:w w:val="95"/>
        </w:rPr>
        <w:t> </w:t>
      </w:r>
      <w:r>
        <w:rPr>
          <w:w w:val="95"/>
        </w:rPr>
        <w:t>-</w:t>
      </w:r>
      <w:r>
        <w:rPr>
          <w:spacing w:val="-2"/>
          <w:w w:val="95"/>
        </w:rPr>
        <w:t> </w:t>
      </w:r>
      <w:r>
        <w:rPr>
          <w:w w:val="95"/>
        </w:rPr>
        <w:t>19</w:t>
      </w:r>
      <w:r>
        <w:rPr>
          <w:spacing w:val="-3"/>
          <w:w w:val="95"/>
        </w:rPr>
        <w:t> </w:t>
      </w:r>
      <w:r>
        <w:rPr>
          <w:w w:val="95"/>
        </w:rPr>
        <w:t>had</w:t>
      </w:r>
      <w:r>
        <w:rPr>
          <w:spacing w:val="-3"/>
          <w:w w:val="95"/>
        </w:rPr>
        <w:t> </w:t>
      </w:r>
      <w:r>
        <w:rPr>
          <w:w w:val="95"/>
        </w:rPr>
        <w:t>at</w:t>
      </w:r>
      <w:r>
        <w:rPr>
          <w:spacing w:val="-3"/>
          <w:w w:val="95"/>
        </w:rPr>
        <w:t> </w:t>
      </w:r>
      <w:r>
        <w:rPr>
          <w:w w:val="95"/>
        </w:rPr>
        <w:t>least</w:t>
      </w:r>
      <w:r>
        <w:rPr>
          <w:spacing w:val="-3"/>
          <w:w w:val="95"/>
        </w:rPr>
        <w:t> </w:t>
      </w:r>
      <w:r>
        <w:rPr>
          <w:w w:val="95"/>
        </w:rPr>
        <w:t>four</w:t>
      </w:r>
      <w:r>
        <w:rPr>
          <w:spacing w:val="-2"/>
          <w:w w:val="95"/>
        </w:rPr>
        <w:t> </w:t>
      </w:r>
      <w:r>
        <w:rPr>
          <w:w w:val="95"/>
        </w:rPr>
        <w:t>experiences</w:t>
      </w:r>
      <w:r>
        <w:rPr>
          <w:spacing w:val="-4"/>
          <w:w w:val="95"/>
        </w:rPr>
        <w:t> </w:t>
      </w:r>
      <w:r>
        <w:rPr>
          <w:w w:val="95"/>
        </w:rPr>
        <w:t>of</w:t>
      </w:r>
      <w:r>
        <w:rPr>
          <w:spacing w:val="-2"/>
          <w:w w:val="95"/>
        </w:rPr>
        <w:t> </w:t>
      </w:r>
      <w:r>
        <w:rPr>
          <w:w w:val="95"/>
        </w:rPr>
        <w:t>bullying</w:t>
      </w:r>
      <w:r>
        <w:rPr>
          <w:spacing w:val="-3"/>
          <w:w w:val="95"/>
        </w:rPr>
        <w:t> </w:t>
      </w:r>
      <w:r>
        <w:rPr>
          <w:w w:val="95"/>
        </w:rPr>
        <w:t>to</w:t>
      </w:r>
      <w:r>
        <w:rPr>
          <w:spacing w:val="-4"/>
          <w:w w:val="95"/>
        </w:rPr>
        <w:t> </w:t>
      </w:r>
      <w:r>
        <w:rPr>
          <w:w w:val="95"/>
        </w:rPr>
        <w:t>others</w:t>
      </w:r>
      <w:r>
        <w:rPr>
          <w:spacing w:val="-48"/>
          <w:w w:val="95"/>
        </w:rPr>
        <w:t> </w:t>
      </w:r>
      <w:r>
        <w:rPr>
          <w:w w:val="95"/>
        </w:rPr>
        <w:t>in the last year. The odds ratios for depression in male bullies</w:t>
      </w:r>
      <w:r>
        <w:rPr>
          <w:spacing w:val="1"/>
          <w:w w:val="95"/>
        </w:rPr>
        <w:t> </w:t>
      </w:r>
      <w:r>
        <w:rPr/>
        <w:t>were</w:t>
      </w:r>
      <w:r>
        <w:rPr>
          <w:spacing w:val="1"/>
        </w:rPr>
        <w:t> </w:t>
      </w:r>
      <w:r>
        <w:rPr/>
        <w:t>1.3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1.5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19</w:t>
      </w:r>
      <w:r>
        <w:rPr>
          <w:spacing w:val="1"/>
        </w:rPr>
        <w:t> </w:t>
      </w:r>
      <w:r>
        <w:rPr/>
        <w:t>age</w:t>
      </w:r>
      <w:r>
        <w:rPr>
          <w:spacing w:val="1"/>
        </w:rPr>
        <w:t> </w:t>
      </w:r>
      <w:r>
        <w:rPr/>
        <w:t>groups,</w:t>
      </w:r>
      <w:r>
        <w:rPr>
          <w:spacing w:val="1"/>
        </w:rPr>
        <w:t> </w:t>
      </w:r>
      <w:r>
        <w:rPr>
          <w:w w:val="90"/>
        </w:rPr>
        <w:t>respectively. The odds ratios for depression in bullied males and</w:t>
      </w:r>
      <w:r>
        <w:rPr>
          <w:spacing w:val="1"/>
          <w:w w:val="90"/>
        </w:rPr>
        <w:t> </w:t>
      </w:r>
      <w:r>
        <w:rPr/>
        <w:t>females</w:t>
      </w:r>
      <w:r>
        <w:rPr>
          <w:spacing w:val="-8"/>
        </w:rPr>
        <w:t> </w:t>
      </w:r>
      <w:r>
        <w:rPr/>
        <w:t>were</w:t>
      </w:r>
      <w:r>
        <w:rPr>
          <w:spacing w:val="-8"/>
        </w:rPr>
        <w:t> </w:t>
      </w:r>
      <w:r>
        <w:rPr/>
        <w:t>4.2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3.9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6</w:t>
      </w:r>
      <w:r>
        <w:rPr>
          <w:spacing w:val="-7"/>
        </w:rPr>
        <w:t> </w:t>
      </w:r>
      <w:r>
        <w:rPr/>
        <w:t>-</w:t>
      </w:r>
      <w:r>
        <w:rPr>
          <w:spacing w:val="-6"/>
        </w:rPr>
        <w:t> </w:t>
      </w:r>
      <w:r>
        <w:rPr/>
        <w:t>10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2.9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/>
        <w:t>4.3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11</w:t>
      </w:r>
      <w:r>
        <w:rPr>
          <w:spacing w:val="-7"/>
        </w:rPr>
        <w:t> </w:t>
      </w:r>
      <w:r>
        <w:rPr/>
        <w:t>-</w:t>
      </w:r>
      <w:r>
        <w:rPr>
          <w:spacing w:val="-7"/>
        </w:rPr>
        <w:t> </w:t>
      </w:r>
      <w:r>
        <w:rPr/>
        <w:t>19</w:t>
      </w:r>
      <w:r>
        <w:rPr>
          <w:spacing w:val="-51"/>
        </w:rPr>
        <w:t> </w:t>
      </w:r>
      <w:r>
        <w:rPr>
          <w:w w:val="90"/>
        </w:rPr>
        <w:t>age groups, respectively. Bulling others increased the odds of</w:t>
      </w:r>
      <w:r>
        <w:rPr>
          <w:spacing w:val="1"/>
          <w:w w:val="90"/>
        </w:rPr>
        <w:t> </w:t>
      </w:r>
      <w:r>
        <w:rPr>
          <w:w w:val="95"/>
        </w:rPr>
        <w:t>anxiety</w:t>
      </w:r>
      <w:r>
        <w:rPr>
          <w:spacing w:val="-8"/>
          <w:w w:val="95"/>
        </w:rPr>
        <w:t> </w:t>
      </w:r>
      <w:r>
        <w:rPr>
          <w:w w:val="95"/>
        </w:rPr>
        <w:t>to</w:t>
      </w:r>
      <w:r>
        <w:rPr>
          <w:spacing w:val="-7"/>
          <w:w w:val="95"/>
        </w:rPr>
        <w:t> </w:t>
      </w:r>
      <w:r>
        <w:rPr>
          <w:w w:val="95"/>
        </w:rPr>
        <w:t>1.7</w:t>
      </w:r>
      <w:r>
        <w:rPr>
          <w:spacing w:val="-8"/>
          <w:w w:val="95"/>
        </w:rPr>
        <w:t> </w:t>
      </w:r>
      <w:r>
        <w:rPr>
          <w:w w:val="95"/>
        </w:rPr>
        <w:t>and</w:t>
      </w:r>
      <w:r>
        <w:rPr>
          <w:spacing w:val="-7"/>
          <w:w w:val="95"/>
        </w:rPr>
        <w:t> </w:t>
      </w:r>
      <w:r>
        <w:rPr>
          <w:w w:val="95"/>
        </w:rPr>
        <w:t>1.9</w:t>
      </w:r>
      <w:r>
        <w:rPr>
          <w:spacing w:val="-8"/>
          <w:w w:val="95"/>
        </w:rPr>
        <w:t> </w:t>
      </w:r>
      <w:r>
        <w:rPr>
          <w:w w:val="95"/>
        </w:rPr>
        <w:t>in</w:t>
      </w:r>
      <w:r>
        <w:rPr>
          <w:spacing w:val="-7"/>
          <w:w w:val="95"/>
        </w:rPr>
        <w:t> </w:t>
      </w:r>
      <w:r>
        <w:rPr>
          <w:w w:val="95"/>
        </w:rPr>
        <w:t>males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8"/>
          <w:w w:val="95"/>
        </w:rPr>
        <w:t> </w:t>
      </w:r>
      <w:r>
        <w:rPr>
          <w:w w:val="95"/>
        </w:rPr>
        <w:t>2.1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9"/>
          <w:w w:val="95"/>
        </w:rPr>
        <w:t> </w:t>
      </w:r>
      <w:r>
        <w:rPr>
          <w:w w:val="95"/>
        </w:rPr>
        <w:t>1.9</w:t>
      </w:r>
      <w:r>
        <w:rPr>
          <w:spacing w:val="-8"/>
          <w:w w:val="95"/>
        </w:rPr>
        <w:t> </w:t>
      </w:r>
      <w:r>
        <w:rPr>
          <w:w w:val="95"/>
        </w:rPr>
        <w:t>in</w:t>
      </w:r>
      <w:r>
        <w:rPr>
          <w:spacing w:val="-7"/>
          <w:w w:val="95"/>
        </w:rPr>
        <w:t> </w:t>
      </w:r>
      <w:r>
        <w:rPr>
          <w:w w:val="95"/>
        </w:rPr>
        <w:t>females</w:t>
      </w:r>
      <w:r>
        <w:rPr>
          <w:spacing w:val="-9"/>
          <w:w w:val="95"/>
        </w:rPr>
        <w:t> </w:t>
      </w:r>
      <w:r>
        <w:rPr>
          <w:w w:val="95"/>
        </w:rPr>
        <w:t>in</w:t>
      </w:r>
      <w:r>
        <w:rPr>
          <w:spacing w:val="-7"/>
          <w:w w:val="95"/>
        </w:rPr>
        <w:t> </w:t>
      </w:r>
      <w:r>
        <w:rPr>
          <w:w w:val="95"/>
        </w:rPr>
        <w:t>6</w:t>
      </w:r>
      <w:r>
        <w:rPr>
          <w:spacing w:val="-9"/>
          <w:w w:val="95"/>
        </w:rPr>
        <w:t> </w:t>
      </w:r>
      <w:r>
        <w:rPr>
          <w:w w:val="95"/>
        </w:rPr>
        <w:t>-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30" w:lineRule="auto" w:before="1"/>
        <w:ind w:left="96" w:right="135"/>
        <w:jc w:val="both"/>
      </w:pPr>
      <w:r>
        <w:rPr>
          <w:w w:val="95"/>
        </w:rPr>
        <w:t>10 and 11 - 19 age groups, respectively. In bullied students, the</w:t>
      </w:r>
      <w:r>
        <w:rPr>
          <w:spacing w:val="-48"/>
          <w:w w:val="95"/>
        </w:rPr>
        <w:t> </w:t>
      </w:r>
      <w:r>
        <w:rPr>
          <w:w w:val="95"/>
        </w:rPr>
        <w:t>odds of anxiety were estimated at 2.9 and 2.2 in males and 3.4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-8"/>
          <w:w w:val="95"/>
        </w:rPr>
        <w:t> </w:t>
      </w:r>
      <w:r>
        <w:rPr>
          <w:w w:val="95"/>
        </w:rPr>
        <w:t>2.2</w:t>
      </w:r>
      <w:r>
        <w:rPr>
          <w:spacing w:val="-7"/>
          <w:w w:val="95"/>
        </w:rPr>
        <w:t> </w:t>
      </w:r>
      <w:r>
        <w:rPr>
          <w:w w:val="95"/>
        </w:rPr>
        <w:t>in</w:t>
      </w:r>
      <w:r>
        <w:rPr>
          <w:spacing w:val="-8"/>
          <w:w w:val="95"/>
        </w:rPr>
        <w:t> </w:t>
      </w:r>
      <w:r>
        <w:rPr>
          <w:w w:val="95"/>
        </w:rPr>
        <w:t>female</w:t>
      </w:r>
      <w:r>
        <w:rPr>
          <w:spacing w:val="-7"/>
          <w:w w:val="95"/>
        </w:rPr>
        <w:t> </w:t>
      </w:r>
      <w:r>
        <w:rPr>
          <w:w w:val="95"/>
        </w:rPr>
        <w:t>students</w:t>
      </w:r>
      <w:r>
        <w:rPr>
          <w:spacing w:val="-8"/>
          <w:w w:val="95"/>
        </w:rPr>
        <w:t> </w:t>
      </w:r>
      <w:r>
        <w:rPr>
          <w:w w:val="95"/>
        </w:rPr>
        <w:t>respectively,</w:t>
      </w:r>
      <w:r>
        <w:rPr>
          <w:spacing w:val="-7"/>
          <w:w w:val="95"/>
        </w:rPr>
        <w:t> </w:t>
      </w:r>
      <w:r>
        <w:rPr>
          <w:w w:val="95"/>
        </w:rPr>
        <w:t>in</w:t>
      </w:r>
      <w:r>
        <w:rPr>
          <w:spacing w:val="-7"/>
          <w:w w:val="95"/>
        </w:rPr>
        <w:t> </w:t>
      </w:r>
      <w:r>
        <w:rPr>
          <w:w w:val="95"/>
        </w:rPr>
        <w:t>6</w:t>
      </w:r>
      <w:r>
        <w:rPr>
          <w:spacing w:val="-7"/>
          <w:w w:val="95"/>
        </w:rPr>
        <w:t> </w:t>
      </w:r>
      <w:r>
        <w:rPr>
          <w:w w:val="95"/>
        </w:rPr>
        <w:t>-</w:t>
      </w:r>
      <w:r>
        <w:rPr>
          <w:spacing w:val="-8"/>
          <w:w w:val="95"/>
        </w:rPr>
        <w:t> </w:t>
      </w:r>
      <w:r>
        <w:rPr>
          <w:w w:val="95"/>
        </w:rPr>
        <w:t>10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8"/>
          <w:w w:val="95"/>
        </w:rPr>
        <w:t> </w:t>
      </w:r>
      <w:r>
        <w:rPr>
          <w:w w:val="95"/>
        </w:rPr>
        <w:t>11</w:t>
      </w:r>
      <w:r>
        <w:rPr>
          <w:spacing w:val="-7"/>
          <w:w w:val="95"/>
        </w:rPr>
        <w:t> </w:t>
      </w:r>
      <w:r>
        <w:rPr>
          <w:w w:val="95"/>
        </w:rPr>
        <w:t>-</w:t>
      </w:r>
      <w:r>
        <w:rPr>
          <w:spacing w:val="-7"/>
          <w:w w:val="95"/>
        </w:rPr>
        <w:t> </w:t>
      </w:r>
      <w:r>
        <w:rPr>
          <w:w w:val="95"/>
        </w:rPr>
        <w:t>19</w:t>
      </w:r>
      <w:r>
        <w:rPr>
          <w:spacing w:val="-7"/>
          <w:w w:val="95"/>
        </w:rPr>
        <w:t> </w:t>
      </w:r>
      <w:r>
        <w:rPr>
          <w:w w:val="95"/>
        </w:rPr>
        <w:t>age</w:t>
      </w:r>
      <w:r>
        <w:rPr>
          <w:spacing w:val="-49"/>
          <w:w w:val="95"/>
        </w:rPr>
        <w:t> </w:t>
      </w:r>
      <w:r>
        <w:rPr/>
        <w:t>groups.</w:t>
      </w:r>
    </w:p>
    <w:p>
      <w:pPr>
        <w:pStyle w:val="Heading2"/>
        <w:spacing w:before="8"/>
        <w:ind w:left="96"/>
      </w:pPr>
      <w:r>
        <w:rPr>
          <w:color w:val="0C7E8A"/>
        </w:rPr>
        <w:t>Conclusions:</w:t>
      </w:r>
    </w:p>
    <w:p>
      <w:pPr>
        <w:pStyle w:val="BodyText"/>
        <w:spacing w:line="230" w:lineRule="auto"/>
        <w:ind w:left="96" w:right="136"/>
        <w:jc w:val="both"/>
      </w:pPr>
      <w:r>
        <w:rPr>
          <w:w w:val="90"/>
        </w:rPr>
        <w:t>There was a significant positive association between psychological</w:t>
      </w:r>
      <w:r>
        <w:rPr>
          <w:spacing w:val="-45"/>
          <w:w w:val="90"/>
        </w:rPr>
        <w:t> </w:t>
      </w:r>
      <w:r>
        <w:rPr>
          <w:w w:val="95"/>
        </w:rPr>
        <w:t>disorders (anxiety and depression) and bullying among 6 - 19-</w:t>
      </w:r>
      <w:r>
        <w:rPr>
          <w:spacing w:val="1"/>
          <w:w w:val="95"/>
        </w:rPr>
        <w:t> </w:t>
      </w:r>
      <w:r>
        <w:rPr>
          <w:spacing w:val="-1"/>
        </w:rPr>
        <w:t>year-old students. Victims of bullying were more </w:t>
      </w:r>
      <w:r>
        <w:rPr/>
        <w:t>at risk of</w:t>
      </w:r>
      <w:r>
        <w:rPr>
          <w:spacing w:val="1"/>
        </w:rPr>
        <w:t> </w:t>
      </w:r>
      <w:r>
        <w:rPr>
          <w:w w:val="90"/>
        </w:rPr>
        <w:t>depression</w:t>
      </w:r>
      <w:r>
        <w:rPr>
          <w:spacing w:val="1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anxiety.</w:t>
      </w:r>
      <w:r>
        <w:rPr>
          <w:spacing w:val="1"/>
          <w:w w:val="90"/>
        </w:rPr>
        <w:t> </w:t>
      </w:r>
      <w:r>
        <w:rPr>
          <w:w w:val="90"/>
        </w:rPr>
        <w:t>This</w:t>
      </w:r>
      <w:r>
        <w:rPr>
          <w:spacing w:val="1"/>
          <w:w w:val="90"/>
        </w:rPr>
        <w:t> </w:t>
      </w:r>
      <w:r>
        <w:rPr>
          <w:w w:val="90"/>
        </w:rPr>
        <w:t>health-threatening</w:t>
      </w:r>
      <w:r>
        <w:rPr>
          <w:spacing w:val="1"/>
          <w:w w:val="90"/>
        </w:rPr>
        <w:t> </w:t>
      </w:r>
      <w:r>
        <w:rPr>
          <w:w w:val="90"/>
        </w:rPr>
        <w:t>phenomenon</w:t>
      </w:r>
      <w:r>
        <w:rPr>
          <w:spacing w:val="1"/>
          <w:w w:val="90"/>
        </w:rPr>
        <w:t> </w:t>
      </w:r>
      <w:r>
        <w:rPr/>
        <w:t>should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ignored.</w:t>
      </w:r>
    </w:p>
    <w:p>
      <w:pPr>
        <w:pStyle w:val="Heading1"/>
        <w:spacing w:before="169"/>
      </w:pPr>
      <w:r>
        <w:rPr>
          <w:color w:val="BE5A13"/>
        </w:rPr>
        <w:t>Recent</w:t>
      </w:r>
      <w:r>
        <w:rPr>
          <w:color w:val="BE5A13"/>
          <w:spacing w:val="-1"/>
        </w:rPr>
        <w:t> </w:t>
      </w:r>
      <w:r>
        <w:rPr>
          <w:color w:val="BE5A13"/>
        </w:rPr>
        <w:t>Publications</w:t>
      </w:r>
      <w:r>
        <w:rPr>
          <w:color w:val="BE5A13"/>
          <w:spacing w:val="-1"/>
        </w:rPr>
        <w:t> </w:t>
      </w:r>
      <w:r>
        <w:rPr>
          <w:color w:val="BE5A13"/>
        </w:rPr>
        <w:t>(minimum</w:t>
      </w:r>
      <w:r>
        <w:rPr>
          <w:color w:val="BE5A13"/>
          <w:spacing w:val="-3"/>
        </w:rPr>
        <w:t> </w:t>
      </w:r>
      <w:r>
        <w:rPr>
          <w:color w:val="BE5A13"/>
        </w:rPr>
        <w:t>5)</w:t>
      </w:r>
    </w:p>
    <w:p>
      <w:pPr>
        <w:pStyle w:val="ListParagraph"/>
        <w:numPr>
          <w:ilvl w:val="0"/>
          <w:numId w:val="1"/>
        </w:numPr>
        <w:tabs>
          <w:tab w:pos="286" w:val="left" w:leader="none"/>
        </w:tabs>
        <w:spacing w:line="240" w:lineRule="auto" w:before="0" w:after="0"/>
        <w:ind w:left="96" w:right="253" w:firstLine="0"/>
        <w:jc w:val="both"/>
        <w:rPr>
          <w:sz w:val="18"/>
        </w:rPr>
      </w:pPr>
      <w:r>
        <w:rPr>
          <w:sz w:val="18"/>
        </w:rPr>
        <w:t>Chester KL, Callaghan M, Cosma A, Donnelly P, Craig W, Walsh S, et</w:t>
      </w:r>
      <w:r>
        <w:rPr>
          <w:spacing w:val="1"/>
          <w:sz w:val="18"/>
        </w:rPr>
        <w:t> </w:t>
      </w:r>
      <w:r>
        <w:rPr>
          <w:sz w:val="18"/>
        </w:rPr>
        <w:t>al. Cross-national time trends in bullying victimization in 33 countries</w:t>
      </w:r>
      <w:r>
        <w:rPr>
          <w:spacing w:val="1"/>
          <w:sz w:val="18"/>
        </w:rPr>
        <w:t> </w:t>
      </w:r>
      <w:r>
        <w:rPr>
          <w:sz w:val="18"/>
        </w:rPr>
        <w:t>among children aged 11, 13 and 15 from 2002 to 2010. Eur J Public</w:t>
      </w:r>
      <w:r>
        <w:rPr>
          <w:spacing w:val="1"/>
          <w:sz w:val="18"/>
        </w:rPr>
        <w:t> </w:t>
      </w:r>
      <w:r>
        <w:rPr>
          <w:sz w:val="18"/>
        </w:rPr>
        <w:t>Health. 2015;25 Suppl 2:61-4. doi: 10.1093/eurpub/ckv029. [PubMed:</w:t>
      </w:r>
      <w:r>
        <w:rPr>
          <w:spacing w:val="1"/>
          <w:sz w:val="18"/>
        </w:rPr>
        <w:t> </w:t>
      </w:r>
      <w:r>
        <w:rPr>
          <w:sz w:val="18"/>
        </w:rPr>
        <w:t>25805790].</w:t>
      </w:r>
    </w:p>
    <w:p>
      <w:pPr>
        <w:pStyle w:val="ListParagraph"/>
        <w:numPr>
          <w:ilvl w:val="0"/>
          <w:numId w:val="1"/>
        </w:numPr>
        <w:tabs>
          <w:tab w:pos="294" w:val="left" w:leader="none"/>
        </w:tabs>
        <w:spacing w:line="240" w:lineRule="auto" w:before="0" w:after="0"/>
        <w:ind w:left="96" w:right="254" w:firstLine="0"/>
        <w:jc w:val="both"/>
        <w:rPr>
          <w:sz w:val="18"/>
        </w:rPr>
      </w:pPr>
      <w:r>
        <w:rPr>
          <w:sz w:val="18"/>
        </w:rPr>
        <w:t>Diaz-Aguado Jalon MJ, Martinez Arias R, Martin Babarro J. Bullying</w:t>
      </w:r>
      <w:r>
        <w:rPr>
          <w:spacing w:val="1"/>
          <w:sz w:val="18"/>
        </w:rPr>
        <w:t> </w:t>
      </w:r>
      <w:r>
        <w:rPr>
          <w:sz w:val="18"/>
        </w:rPr>
        <w:t>among</w:t>
      </w:r>
      <w:r>
        <w:rPr>
          <w:spacing w:val="1"/>
          <w:sz w:val="18"/>
        </w:rPr>
        <w:t> </w:t>
      </w:r>
      <w:r>
        <w:rPr>
          <w:sz w:val="18"/>
        </w:rPr>
        <w:t>adolescents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Spain.</w:t>
      </w:r>
      <w:r>
        <w:rPr>
          <w:spacing w:val="1"/>
          <w:sz w:val="18"/>
        </w:rPr>
        <w:t> </w:t>
      </w:r>
      <w:r>
        <w:rPr>
          <w:sz w:val="18"/>
        </w:rPr>
        <w:t>Prevalence,</w:t>
      </w:r>
      <w:r>
        <w:rPr>
          <w:spacing w:val="1"/>
          <w:sz w:val="18"/>
        </w:rPr>
        <w:t> </w:t>
      </w:r>
      <w:r>
        <w:rPr>
          <w:sz w:val="18"/>
        </w:rPr>
        <w:t>participants'</w:t>
      </w:r>
      <w:r>
        <w:rPr>
          <w:spacing w:val="1"/>
          <w:sz w:val="18"/>
        </w:rPr>
        <w:t> </w:t>
      </w:r>
      <w:r>
        <w:rPr>
          <w:sz w:val="18"/>
        </w:rPr>
        <w:t>roles,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characteristics attributable to victimization by victims and aggressors.</w:t>
      </w:r>
      <w:r>
        <w:rPr>
          <w:spacing w:val="1"/>
          <w:sz w:val="18"/>
        </w:rPr>
        <w:t> </w:t>
      </w:r>
      <w:r>
        <w:rPr>
          <w:sz w:val="18"/>
        </w:rPr>
        <w:t>Rev de Educ. 2013;362:348-79. doi: 10.4438/1988-592x-re-2011-362-</w:t>
      </w:r>
      <w:r>
        <w:rPr>
          <w:spacing w:val="1"/>
          <w:sz w:val="18"/>
        </w:rPr>
        <w:t> </w:t>
      </w:r>
      <w:r>
        <w:rPr>
          <w:sz w:val="18"/>
        </w:rPr>
        <w:t>164.</w:t>
      </w: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0" w:after="0"/>
        <w:ind w:left="96" w:right="254" w:firstLine="0"/>
        <w:jc w:val="both"/>
        <w:rPr>
          <w:sz w:val="18"/>
        </w:rPr>
      </w:pPr>
      <w:r>
        <w:rPr>
          <w:sz w:val="18"/>
        </w:rPr>
        <w:t>Scott</w:t>
      </w:r>
      <w:r>
        <w:rPr>
          <w:spacing w:val="1"/>
          <w:sz w:val="18"/>
        </w:rPr>
        <w:t> </w:t>
      </w:r>
      <w:r>
        <w:rPr>
          <w:sz w:val="18"/>
        </w:rPr>
        <w:t>TM,</w:t>
      </w:r>
      <w:r>
        <w:rPr>
          <w:spacing w:val="1"/>
          <w:sz w:val="18"/>
        </w:rPr>
        <w:t> </w:t>
      </w:r>
      <w:r>
        <w:rPr>
          <w:sz w:val="18"/>
        </w:rPr>
        <w:t>Nelson</w:t>
      </w:r>
      <w:r>
        <w:rPr>
          <w:spacing w:val="1"/>
          <w:sz w:val="18"/>
        </w:rPr>
        <w:t> </w:t>
      </w:r>
      <w:r>
        <w:rPr>
          <w:sz w:val="18"/>
        </w:rPr>
        <w:t>CM,</w:t>
      </w:r>
      <w:r>
        <w:rPr>
          <w:spacing w:val="1"/>
          <w:sz w:val="18"/>
        </w:rPr>
        <w:t> </w:t>
      </w:r>
      <w:r>
        <w:rPr>
          <w:sz w:val="18"/>
        </w:rPr>
        <w:t>Liaupsin</w:t>
      </w:r>
      <w:r>
        <w:rPr>
          <w:spacing w:val="1"/>
          <w:sz w:val="18"/>
        </w:rPr>
        <w:t> </w:t>
      </w:r>
      <w:r>
        <w:rPr>
          <w:sz w:val="18"/>
        </w:rPr>
        <w:t>CJ.</w:t>
      </w:r>
      <w:r>
        <w:rPr>
          <w:spacing w:val="1"/>
          <w:sz w:val="18"/>
        </w:rPr>
        <w:t> </w:t>
      </w:r>
      <w:r>
        <w:rPr>
          <w:sz w:val="18"/>
        </w:rPr>
        <w:t>Effective</w:t>
      </w:r>
      <w:r>
        <w:rPr>
          <w:spacing w:val="1"/>
          <w:sz w:val="18"/>
        </w:rPr>
        <w:t> </w:t>
      </w:r>
      <w:r>
        <w:rPr>
          <w:sz w:val="18"/>
        </w:rPr>
        <w:t>instruction: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forgotten</w:t>
      </w:r>
      <w:r>
        <w:rPr>
          <w:spacing w:val="1"/>
          <w:sz w:val="18"/>
        </w:rPr>
        <w:t> </w:t>
      </w:r>
      <w:r>
        <w:rPr>
          <w:sz w:val="18"/>
        </w:rPr>
        <w:t>component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preventing</w:t>
      </w:r>
      <w:r>
        <w:rPr>
          <w:spacing w:val="1"/>
          <w:sz w:val="18"/>
        </w:rPr>
        <w:t> </w:t>
      </w:r>
      <w:r>
        <w:rPr>
          <w:sz w:val="18"/>
        </w:rPr>
        <w:t>school</w:t>
      </w:r>
      <w:r>
        <w:rPr>
          <w:spacing w:val="1"/>
          <w:sz w:val="18"/>
        </w:rPr>
        <w:t> </w:t>
      </w:r>
      <w:r>
        <w:rPr>
          <w:sz w:val="18"/>
        </w:rPr>
        <w:t>violence.</w:t>
      </w:r>
      <w:r>
        <w:rPr>
          <w:spacing w:val="1"/>
          <w:sz w:val="18"/>
        </w:rPr>
        <w:t> </w:t>
      </w:r>
      <w:r>
        <w:rPr>
          <w:sz w:val="18"/>
        </w:rPr>
        <w:t>Educ</w:t>
      </w:r>
      <w:r>
        <w:rPr>
          <w:spacing w:val="1"/>
          <w:sz w:val="18"/>
        </w:rPr>
        <w:t> </w:t>
      </w:r>
      <w:r>
        <w:rPr>
          <w:sz w:val="18"/>
        </w:rPr>
        <w:t>Treat</w:t>
      </w:r>
      <w:r>
        <w:rPr>
          <w:spacing w:val="-38"/>
          <w:sz w:val="18"/>
        </w:rPr>
        <w:t> </w:t>
      </w:r>
      <w:r>
        <w:rPr>
          <w:sz w:val="18"/>
        </w:rPr>
        <w:t>Children.</w:t>
      </w:r>
      <w:r>
        <w:rPr>
          <w:spacing w:val="-2"/>
          <w:sz w:val="18"/>
        </w:rPr>
        <w:t> </w:t>
      </w:r>
      <w:r>
        <w:rPr>
          <w:sz w:val="18"/>
        </w:rPr>
        <w:t>2001;24(3):309-22.</w:t>
      </w:r>
    </w:p>
    <w:p>
      <w:pPr>
        <w:pStyle w:val="ListParagraph"/>
        <w:numPr>
          <w:ilvl w:val="0"/>
          <w:numId w:val="1"/>
        </w:numPr>
        <w:tabs>
          <w:tab w:pos="275" w:val="left" w:leader="none"/>
        </w:tabs>
        <w:spacing w:line="240" w:lineRule="auto" w:before="1" w:after="0"/>
        <w:ind w:left="274" w:right="0" w:hanging="179"/>
        <w:jc w:val="both"/>
        <w:rPr>
          <w:sz w:val="18"/>
        </w:rPr>
      </w:pPr>
      <w:r>
        <w:rPr>
          <w:sz w:val="18"/>
        </w:rPr>
        <w:t>AlBuhairan</w:t>
      </w:r>
      <w:r>
        <w:rPr>
          <w:spacing w:val="-1"/>
          <w:sz w:val="18"/>
        </w:rPr>
        <w:t> </w:t>
      </w:r>
      <w:r>
        <w:rPr>
          <w:sz w:val="18"/>
        </w:rPr>
        <w:t>F,</w:t>
      </w:r>
      <w:r>
        <w:rPr>
          <w:spacing w:val="-1"/>
          <w:sz w:val="18"/>
        </w:rPr>
        <w:t> </w:t>
      </w:r>
      <w:r>
        <w:rPr>
          <w:sz w:val="18"/>
        </w:rPr>
        <w:t>Abou</w:t>
      </w:r>
      <w:r>
        <w:rPr>
          <w:spacing w:val="-1"/>
          <w:sz w:val="18"/>
        </w:rPr>
        <w:t> </w:t>
      </w:r>
      <w:r>
        <w:rPr>
          <w:sz w:val="18"/>
        </w:rPr>
        <w:t>Abbas</w:t>
      </w:r>
      <w:r>
        <w:rPr>
          <w:spacing w:val="-1"/>
          <w:sz w:val="18"/>
        </w:rPr>
        <w:t> </w:t>
      </w:r>
      <w:r>
        <w:rPr>
          <w:sz w:val="18"/>
        </w:rPr>
        <w:t>O,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Sayed</w:t>
      </w:r>
      <w:r>
        <w:rPr>
          <w:spacing w:val="-2"/>
          <w:sz w:val="18"/>
        </w:rPr>
        <w:t> </w:t>
      </w:r>
      <w:r>
        <w:rPr>
          <w:sz w:val="18"/>
        </w:rPr>
        <w:t>D,</w:t>
      </w:r>
      <w:r>
        <w:rPr>
          <w:spacing w:val="-2"/>
          <w:sz w:val="18"/>
        </w:rPr>
        <w:t> </w:t>
      </w:r>
      <w:r>
        <w:rPr>
          <w:sz w:val="18"/>
        </w:rPr>
        <w:t>Badri</w:t>
      </w:r>
      <w:r>
        <w:rPr>
          <w:spacing w:val="-1"/>
          <w:sz w:val="18"/>
        </w:rPr>
        <w:t> </w:t>
      </w:r>
      <w:r>
        <w:rPr>
          <w:sz w:val="18"/>
        </w:rPr>
        <w:t>M,</w:t>
      </w:r>
      <w:r>
        <w:rPr>
          <w:spacing w:val="-1"/>
          <w:sz w:val="18"/>
        </w:rPr>
        <w:t> </w:t>
      </w:r>
      <w:r>
        <w:rPr>
          <w:sz w:val="18"/>
        </w:rPr>
        <w:t>Alshahri</w:t>
      </w:r>
      <w:r>
        <w:rPr>
          <w:spacing w:val="-2"/>
          <w:sz w:val="18"/>
        </w:rPr>
        <w:t> </w:t>
      </w:r>
      <w:r>
        <w:rPr>
          <w:sz w:val="18"/>
        </w:rPr>
        <w:t>S,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Vries</w:t>
      </w:r>
    </w:p>
    <w:p>
      <w:pPr>
        <w:spacing w:before="0"/>
        <w:ind w:left="96" w:right="254" w:firstLine="0"/>
        <w:jc w:val="both"/>
        <w:rPr>
          <w:rFonts w:ascii="Calibri"/>
          <w:sz w:val="18"/>
        </w:rPr>
      </w:pPr>
      <w:r>
        <w:rPr>
          <w:rFonts w:ascii="Calibri"/>
          <w:sz w:val="18"/>
        </w:rPr>
        <w:t>N. The relationship of bullying and physical violence to mental health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and academic performance: A cross-sectional study among adolescents</w:t>
      </w:r>
      <w:r>
        <w:rPr>
          <w:rFonts w:ascii="Calibri"/>
          <w:spacing w:val="-38"/>
          <w:sz w:val="18"/>
        </w:rPr>
        <w:t> </w:t>
      </w:r>
      <w:r>
        <w:rPr>
          <w:rFonts w:ascii="Calibri"/>
          <w:sz w:val="18"/>
        </w:rPr>
        <w:t>in Kingdom of Saudi Arabia. Int J Pediatr Adolesc Med. 2017;4(2):61-5.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doi: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10.1016/j.ijpam.2016.12.005.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[PubMed: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30805503].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[PubMed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Central: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PMC6372492].</w:t>
      </w:r>
    </w:p>
    <w:p>
      <w:pPr>
        <w:pStyle w:val="ListParagraph"/>
        <w:numPr>
          <w:ilvl w:val="0"/>
          <w:numId w:val="1"/>
        </w:numPr>
        <w:tabs>
          <w:tab w:pos="235" w:val="left" w:leader="none"/>
        </w:tabs>
        <w:spacing w:line="240" w:lineRule="auto" w:before="0" w:after="0"/>
        <w:ind w:left="96" w:right="258" w:firstLine="0"/>
        <w:jc w:val="both"/>
        <w:rPr>
          <w:sz w:val="18"/>
        </w:rPr>
      </w:pPr>
      <w:r>
        <w:rPr>
          <w:sz w:val="18"/>
        </w:rPr>
        <w:t>Juvonen J, Espinoza G, Schacter HL. Encyclopedia of mental health.</w:t>
      </w:r>
      <w:r>
        <w:rPr>
          <w:spacing w:val="1"/>
          <w:sz w:val="18"/>
        </w:rPr>
        <w:t> </w:t>
      </w:r>
      <w:r>
        <w:rPr>
          <w:sz w:val="18"/>
        </w:rPr>
        <w:t>2nd</w:t>
      </w:r>
      <w:r>
        <w:rPr>
          <w:spacing w:val="-1"/>
          <w:sz w:val="18"/>
        </w:rPr>
        <w:t> </w:t>
      </w:r>
      <w:r>
        <w:rPr>
          <w:sz w:val="18"/>
        </w:rPr>
        <w:t>ed.</w:t>
      </w:r>
      <w:r>
        <w:rPr>
          <w:spacing w:val="-1"/>
          <w:sz w:val="18"/>
        </w:rPr>
        <w:t> </w:t>
      </w:r>
      <w:r>
        <w:rPr>
          <w:sz w:val="18"/>
        </w:rPr>
        <w:t>Massachusetts,</w:t>
      </w:r>
      <w:r>
        <w:rPr>
          <w:spacing w:val="-1"/>
          <w:sz w:val="18"/>
        </w:rPr>
        <w:t> </w:t>
      </w:r>
      <w:r>
        <w:rPr>
          <w:sz w:val="18"/>
        </w:rPr>
        <w:t>USA: Academic</w:t>
      </w:r>
      <w:r>
        <w:rPr>
          <w:spacing w:val="-2"/>
          <w:sz w:val="18"/>
        </w:rPr>
        <w:t> </w:t>
      </w:r>
      <w:r>
        <w:rPr>
          <w:sz w:val="18"/>
        </w:rPr>
        <w:t>Press;</w:t>
      </w:r>
      <w:r>
        <w:rPr>
          <w:spacing w:val="-1"/>
          <w:sz w:val="18"/>
        </w:rPr>
        <w:t> </w:t>
      </w:r>
      <w:r>
        <w:rPr>
          <w:sz w:val="18"/>
        </w:rPr>
        <w:t>2016.</w:t>
      </w:r>
    </w:p>
    <w:p>
      <w:pPr>
        <w:spacing w:after="0" w:line="240" w:lineRule="auto"/>
        <w:jc w:val="both"/>
        <w:rPr>
          <w:sz w:val="18"/>
        </w:rPr>
        <w:sectPr>
          <w:type w:val="continuous"/>
          <w:pgSz w:w="11910" w:h="16840"/>
          <w:pgMar w:top="1020" w:bottom="280" w:left="520" w:right="460"/>
          <w:cols w:num="2" w:equalWidth="0">
            <w:col w:w="5317" w:space="40"/>
            <w:col w:w="5573"/>
          </w:cols>
        </w:sectPr>
      </w:pPr>
    </w:p>
    <w:p>
      <w:pPr>
        <w:pStyle w:val="BodyText"/>
        <w:spacing w:before="9"/>
        <w:rPr>
          <w:rFonts w:ascii="Calibri"/>
          <w:sz w:val="19"/>
        </w:rPr>
      </w:pPr>
    </w:p>
    <w:p>
      <w:pPr>
        <w:pStyle w:val="BodyText"/>
        <w:spacing w:line="40" w:lineRule="exact"/>
        <w:ind w:left="230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spacing w:before="3"/>
        <w:rPr>
          <w:rFonts w:ascii="Calibri"/>
          <w:sz w:val="6"/>
        </w:rPr>
      </w:pPr>
    </w:p>
    <w:p>
      <w:pPr>
        <w:pStyle w:val="BodyText"/>
        <w:ind w:left="8982"/>
        <w:rPr>
          <w:rFonts w:ascii="Calibri"/>
        </w:rPr>
      </w:pPr>
      <w:r>
        <w:rPr>
          <w:rFonts w:ascii="Calibri"/>
        </w:rPr>
        <w:pict>
          <v:group style="width:82.2pt;height:47.4pt;mso-position-horizontal-relative:char;mso-position-vertical-relative:line" coordorigin="0,0" coordsize="1644,948">
            <v:shape style="position:absolute;left:25;top:25;width:1594;height:898" coordorigin="25,25" coordsize="1594,898" path="m25,175l37,116,69,69,116,37,175,25,1469,25,1528,37,1575,69,1607,116,1619,175,1619,773,1607,832,1575,879,1528,911,1469,923,175,923,116,911,69,879,37,832,25,773,25,175xe" filled="false" stroked="true" strokeweight="2.5pt" strokecolor="#9bba58">
              <v:path arrowok="t"/>
              <v:stroke dashstyle="solid"/>
            </v:shape>
            <v:shape style="position:absolute;left:0;top:0;width:1644;height:948" type="#_x0000_t202" filled="false" stroked="false">
              <v:textbox inset="0,0,0,0">
                <w:txbxContent>
                  <w:p>
                    <w:pPr>
                      <w:spacing w:before="148"/>
                      <w:ind w:left="239" w:right="428" w:firstLine="0"/>
                      <w:jc w:val="left"/>
                      <w:rPr>
                        <w:rFonts w:ascii="Arial"/>
                        <w:b/>
                        <w:sz w:val="22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w w:val="85"/>
                        <w:sz w:val="22"/>
                      </w:rPr>
                      <w:t>Paste your</w:t>
                    </w:r>
                    <w:r>
                      <w:rPr>
                        <w:rFonts w:ascii="Arial"/>
                        <w:b/>
                        <w:color w:val="0000FF"/>
                        <w:spacing w:val="-49"/>
                        <w:w w:val="85"/>
                        <w:sz w:val="22"/>
                      </w:rPr>
                      <w:t> </w:t>
                    </w:r>
                    <w:r>
                      <w:rPr>
                        <w:rFonts w:ascii="Arial"/>
                        <w:b/>
                        <w:color w:val="0000FF"/>
                        <w:w w:val="85"/>
                        <w:sz w:val="22"/>
                      </w:rPr>
                      <w:t>Logo here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Calibri"/>
        </w:rPr>
      </w:r>
    </w:p>
    <w:p>
      <w:pPr>
        <w:spacing w:line="247" w:lineRule="exact" w:before="76"/>
        <w:ind w:left="1879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856195</wp:posOffset>
            </wp:positionH>
            <wp:positionV relativeFrom="paragraph">
              <wp:posOffset>-601245</wp:posOffset>
            </wp:positionV>
            <wp:extent cx="584365" cy="77914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365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  <w:r>
        <w:rPr>
          <w:rFonts w:ascii="Arial MT"/>
          <w:color w:val="BE5A13"/>
          <w:spacing w:val="-1"/>
          <w:sz w:val="22"/>
        </w:rPr>
        <w:t> </w:t>
      </w:r>
      <w:r>
        <w:rPr>
          <w:rFonts w:ascii="Arial MT"/>
          <w:color w:val="BE5A13"/>
          <w:sz w:val="22"/>
        </w:rPr>
        <w:t>(150</w:t>
      </w:r>
      <w:r>
        <w:rPr>
          <w:rFonts w:ascii="Arial MT"/>
          <w:color w:val="BE5A13"/>
          <w:spacing w:val="-2"/>
          <w:sz w:val="22"/>
        </w:rPr>
        <w:t> </w:t>
      </w:r>
      <w:r>
        <w:rPr>
          <w:rFonts w:ascii="Arial MT"/>
          <w:color w:val="BE5A13"/>
          <w:sz w:val="22"/>
        </w:rPr>
        <w:t>word</w:t>
      </w:r>
      <w:r>
        <w:rPr>
          <w:rFonts w:ascii="Arial MT"/>
          <w:color w:val="BE5A13"/>
          <w:spacing w:val="-2"/>
          <w:sz w:val="22"/>
        </w:rPr>
        <w:t> </w:t>
      </w:r>
      <w:r>
        <w:rPr>
          <w:rFonts w:ascii="Arial MT"/>
          <w:color w:val="BE5A13"/>
          <w:sz w:val="22"/>
        </w:rPr>
        <w:t>limit)</w:t>
      </w:r>
    </w:p>
    <w:p>
      <w:pPr>
        <w:spacing w:line="230" w:lineRule="auto" w:before="1"/>
        <w:ind w:left="100" w:right="136" w:firstLine="0"/>
        <w:jc w:val="both"/>
        <w:rPr>
          <w:sz w:val="18"/>
        </w:rPr>
      </w:pPr>
      <w:r>
        <w:rPr>
          <w:w w:val="90"/>
          <w:sz w:val="18"/>
        </w:rPr>
        <w:t>Professor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Marzieh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Nojomi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(MD,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MPH)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specialist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in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community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and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preventive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medicine.</w:t>
      </w:r>
      <w:r>
        <w:rPr>
          <w:spacing w:val="-3"/>
          <w:w w:val="90"/>
          <w:sz w:val="18"/>
        </w:rPr>
        <w:t> </w:t>
      </w:r>
      <w:r>
        <w:rPr>
          <w:w w:val="90"/>
          <w:sz w:val="18"/>
        </w:rPr>
        <w:t>She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has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studied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a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course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of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clinical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epidemiology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too.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She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has</w:t>
      </w:r>
      <w:r>
        <w:rPr>
          <w:spacing w:val="-40"/>
          <w:w w:val="90"/>
          <w:sz w:val="18"/>
        </w:rPr>
        <w:t> </w:t>
      </w:r>
      <w:r>
        <w:rPr>
          <w:w w:val="90"/>
          <w:sz w:val="18"/>
        </w:rPr>
        <w:t>been a university teacher and investigator for more than 25 years in Iran university of Medical Sciences, Tehran, Iran. She published more than 300</w:t>
      </w:r>
      <w:r>
        <w:rPr>
          <w:spacing w:val="1"/>
          <w:w w:val="90"/>
          <w:sz w:val="18"/>
        </w:rPr>
        <w:t> </w:t>
      </w:r>
      <w:r>
        <w:rPr>
          <w:w w:val="90"/>
          <w:sz w:val="18"/>
        </w:rPr>
        <w:t>scientific articles about public health, quality of life, mental and women health. Some her works are on psychometric evaluation of questionnaires that</w:t>
      </w:r>
      <w:r>
        <w:rPr>
          <w:spacing w:val="1"/>
          <w:w w:val="90"/>
          <w:sz w:val="18"/>
        </w:rPr>
        <w:t> </w:t>
      </w:r>
      <w:r>
        <w:rPr>
          <w:sz w:val="18"/>
        </w:rPr>
        <w:t>majority</w:t>
      </w:r>
      <w:r>
        <w:rPr>
          <w:spacing w:val="-11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them</w:t>
      </w:r>
      <w:r>
        <w:rPr>
          <w:spacing w:val="-10"/>
          <w:sz w:val="18"/>
        </w:rPr>
        <w:t> </w:t>
      </w:r>
      <w:r>
        <w:rPr>
          <w:sz w:val="18"/>
        </w:rPr>
        <w:t>are</w:t>
      </w:r>
      <w:r>
        <w:rPr>
          <w:spacing w:val="-10"/>
          <w:sz w:val="18"/>
        </w:rPr>
        <w:t> </w:t>
      </w:r>
      <w:r>
        <w:rPr>
          <w:sz w:val="18"/>
        </w:rPr>
        <w:t>quality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pacing w:val="-11"/>
          <w:sz w:val="18"/>
        </w:rPr>
        <w:t> </w:t>
      </w:r>
      <w:r>
        <w:rPr>
          <w:sz w:val="18"/>
        </w:rPr>
        <w:t>life</w:t>
      </w:r>
      <w:r>
        <w:rPr>
          <w:spacing w:val="-10"/>
          <w:sz w:val="18"/>
        </w:rPr>
        <w:t> </w:t>
      </w:r>
      <w:r>
        <w:rPr>
          <w:sz w:val="18"/>
        </w:rPr>
        <w:t>tools.</w:t>
      </w:r>
      <w:r>
        <w:rPr>
          <w:spacing w:val="-10"/>
          <w:sz w:val="18"/>
        </w:rPr>
        <w:t> </w:t>
      </w:r>
      <w:r>
        <w:rPr>
          <w:sz w:val="18"/>
        </w:rPr>
        <w:t>Prof.</w:t>
      </w:r>
      <w:r>
        <w:rPr>
          <w:spacing w:val="-10"/>
          <w:sz w:val="18"/>
        </w:rPr>
        <w:t> </w:t>
      </w:r>
      <w:r>
        <w:rPr>
          <w:sz w:val="18"/>
        </w:rPr>
        <w:t>Nojomi</w:t>
      </w:r>
      <w:r>
        <w:rPr>
          <w:spacing w:val="-11"/>
          <w:sz w:val="18"/>
        </w:rPr>
        <w:t> </w:t>
      </w:r>
      <w:r>
        <w:rPr>
          <w:sz w:val="18"/>
        </w:rPr>
        <w:t>is</w:t>
      </w:r>
      <w:r>
        <w:rPr>
          <w:spacing w:val="-10"/>
          <w:sz w:val="18"/>
        </w:rPr>
        <w:t> </w:t>
      </w:r>
      <w:r>
        <w:rPr>
          <w:sz w:val="18"/>
        </w:rPr>
        <w:t>a</w:t>
      </w:r>
      <w:r>
        <w:rPr>
          <w:spacing w:val="-10"/>
          <w:sz w:val="18"/>
        </w:rPr>
        <w:t> </w:t>
      </w:r>
      <w:r>
        <w:rPr>
          <w:sz w:val="18"/>
        </w:rPr>
        <w:t>dependent</w:t>
      </w:r>
      <w:r>
        <w:rPr>
          <w:spacing w:val="-9"/>
          <w:sz w:val="18"/>
        </w:rPr>
        <w:t> </w:t>
      </w:r>
      <w:r>
        <w:rPr>
          <w:sz w:val="18"/>
        </w:rPr>
        <w:t>member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academy</w:t>
      </w:r>
      <w:r>
        <w:rPr>
          <w:spacing w:val="-11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medicine</w:t>
      </w:r>
      <w:r>
        <w:rPr>
          <w:spacing w:val="-10"/>
          <w:sz w:val="18"/>
        </w:rPr>
        <w:t> </w:t>
      </w:r>
      <w:r>
        <w:rPr>
          <w:sz w:val="18"/>
        </w:rPr>
        <w:t>since</w:t>
      </w:r>
      <w:r>
        <w:rPr>
          <w:spacing w:val="-10"/>
          <w:sz w:val="18"/>
        </w:rPr>
        <w:t> </w:t>
      </w:r>
      <w:r>
        <w:rPr>
          <w:sz w:val="18"/>
        </w:rPr>
        <w:t>2012.</w:t>
      </w:r>
    </w:p>
    <w:p>
      <w:pPr>
        <w:spacing w:before="67"/>
        <w:ind w:left="4570" w:right="4624" w:firstLine="0"/>
        <w:jc w:val="center"/>
        <w:rPr>
          <w:rFonts w:ascii="Arial MT"/>
          <w:sz w:val="14"/>
        </w:rPr>
      </w:pPr>
      <w:r>
        <w:rPr/>
        <w:pict>
          <v:shape style="position:absolute;margin-left:162.100006pt;margin-top:13.585915pt;width:271.05pt;height:.1pt;mso-position-horizontal-relative:page;mso-position-vertical-relative:paragraph;z-index:-15727104;mso-wrap-distance-left:0;mso-wrap-distance-right:0" coordorigin="3242,272" coordsize="5421,0" path="m3242,272l8663,272e" filled="false" stroked="true" strokeweight=".5pt" strokecolor="#004080">
            <v:path arrowok="t"/>
            <v:stroke dashstyle="solid"/>
            <w10:wrap type="topAndBottom"/>
          </v:shape>
        </w:pict>
      </w:r>
      <w:r>
        <w:rPr>
          <w:rFonts w:ascii="Arial MT"/>
          <w:sz w:val="14"/>
        </w:rPr>
        <w:t>Email:</w:t>
      </w:r>
      <w:r>
        <w:rPr>
          <w:rFonts w:ascii="Arial MT"/>
          <w:spacing w:val="-2"/>
          <w:sz w:val="14"/>
        </w:rPr>
        <w:t> </w:t>
      </w:r>
      <w:hyperlink r:id="rId6">
        <w:r>
          <w:rPr>
            <w:rFonts w:ascii="Arial MT"/>
            <w:color w:val="0000FF"/>
            <w:sz w:val="14"/>
            <w:u w:val="single" w:color="0000FF"/>
          </w:rPr>
          <w:t>mnojomi@iums.ac.ir</w:t>
        </w:r>
      </w:hyperlink>
    </w:p>
    <w:p>
      <w:pPr>
        <w:pStyle w:val="BodyText"/>
        <w:spacing w:line="226" w:lineRule="exact" w:before="24"/>
        <w:ind w:left="200"/>
        <w:rPr>
          <w:rFonts w:ascii="Cambria Math"/>
        </w:rPr>
      </w:pPr>
      <w:r>
        <w:rPr>
          <w:rFonts w:ascii="Cambria Math"/>
        </w:rPr>
        <w:t>Notes/Comments:</w:t>
      </w:r>
    </w:p>
    <w:p>
      <w:pPr>
        <w:pStyle w:val="Heading1"/>
        <w:spacing w:line="217" w:lineRule="exact"/>
        <w:ind w:left="100"/>
      </w:pPr>
      <w:r>
        <w:rPr>
          <w:w w:val="85"/>
        </w:rPr>
        <w:t>Presenting</w:t>
      </w:r>
      <w:r>
        <w:rPr>
          <w:spacing w:val="7"/>
          <w:w w:val="85"/>
        </w:rPr>
        <w:t> </w:t>
      </w:r>
      <w:r>
        <w:rPr>
          <w:w w:val="85"/>
        </w:rPr>
        <w:t>author</w:t>
      </w:r>
      <w:r>
        <w:rPr>
          <w:spacing w:val="7"/>
          <w:w w:val="85"/>
        </w:rPr>
        <w:t> </w:t>
      </w:r>
      <w:r>
        <w:rPr>
          <w:w w:val="85"/>
        </w:rPr>
        <w:t>details</w:t>
      </w:r>
    </w:p>
    <w:p>
      <w:pPr>
        <w:pStyle w:val="BodyText"/>
        <w:spacing w:line="218" w:lineRule="exact"/>
        <w:ind w:left="100"/>
      </w:pPr>
      <w:r>
        <w:rPr>
          <w:w w:val="90"/>
        </w:rPr>
        <w:t>Full</w:t>
      </w:r>
      <w:r>
        <w:rPr>
          <w:spacing w:val="-6"/>
          <w:w w:val="90"/>
        </w:rPr>
        <w:t> </w:t>
      </w:r>
      <w:r>
        <w:rPr>
          <w:w w:val="90"/>
        </w:rPr>
        <w:t>name:</w:t>
      </w:r>
      <w:r>
        <w:rPr>
          <w:spacing w:val="-6"/>
          <w:w w:val="90"/>
        </w:rPr>
        <w:t> </w:t>
      </w:r>
      <w:r>
        <w:rPr>
          <w:w w:val="90"/>
        </w:rPr>
        <w:t>Marzieh</w:t>
      </w:r>
      <w:r>
        <w:rPr>
          <w:spacing w:val="-6"/>
          <w:w w:val="90"/>
        </w:rPr>
        <w:t> </w:t>
      </w:r>
      <w:r>
        <w:rPr>
          <w:w w:val="90"/>
        </w:rPr>
        <w:t>Nojomi</w:t>
      </w:r>
    </w:p>
    <w:p>
      <w:pPr>
        <w:pStyle w:val="BodyText"/>
        <w:spacing w:line="230" w:lineRule="auto" w:before="3"/>
        <w:ind w:left="100" w:right="7813"/>
      </w:pPr>
      <w:r>
        <w:rPr>
          <w:w w:val="95"/>
        </w:rPr>
        <w:t>Contact</w:t>
      </w:r>
      <w:r>
        <w:rPr>
          <w:spacing w:val="-10"/>
          <w:w w:val="95"/>
        </w:rPr>
        <w:t> </w:t>
      </w:r>
      <w:r>
        <w:rPr>
          <w:w w:val="95"/>
        </w:rPr>
        <w:t>number</w:t>
      </w:r>
      <w:r>
        <w:rPr>
          <w:spacing w:val="-9"/>
          <w:w w:val="95"/>
        </w:rPr>
        <w:t> </w:t>
      </w:r>
      <w:r>
        <w:rPr>
          <w:w w:val="95"/>
        </w:rPr>
        <w:t>:0098</w:t>
      </w:r>
      <w:r>
        <w:rPr>
          <w:spacing w:val="-9"/>
          <w:w w:val="95"/>
        </w:rPr>
        <w:t> </w:t>
      </w:r>
      <w:r>
        <w:rPr>
          <w:w w:val="95"/>
        </w:rPr>
        <w:t>21</w:t>
      </w:r>
      <w:r>
        <w:rPr>
          <w:spacing w:val="-9"/>
          <w:w w:val="95"/>
        </w:rPr>
        <w:t> </w:t>
      </w:r>
      <w:r>
        <w:rPr>
          <w:w w:val="95"/>
        </w:rPr>
        <w:t>88602225</w:t>
      </w:r>
      <w:r>
        <w:rPr>
          <w:spacing w:val="-48"/>
          <w:w w:val="95"/>
        </w:rPr>
        <w:t> </w:t>
      </w:r>
      <w:r>
        <w:rPr>
          <w:w w:val="90"/>
        </w:rPr>
        <w:t>Twitter</w:t>
      </w:r>
      <w:r>
        <w:rPr>
          <w:spacing w:val="3"/>
          <w:w w:val="90"/>
        </w:rPr>
        <w:t> </w:t>
      </w:r>
      <w:r>
        <w:rPr>
          <w:w w:val="90"/>
        </w:rPr>
        <w:t>account:</w:t>
      </w:r>
      <w:r>
        <w:rPr>
          <w:spacing w:val="3"/>
          <w:w w:val="90"/>
        </w:rPr>
        <w:t> </w:t>
      </w:r>
      <w:r>
        <w:rPr>
          <w:w w:val="90"/>
        </w:rPr>
        <w:t>@NojomiMarzieh</w:t>
      </w:r>
      <w:r>
        <w:rPr>
          <w:spacing w:val="1"/>
          <w:w w:val="90"/>
        </w:rPr>
        <w:t> </w:t>
      </w:r>
      <w:r>
        <w:rPr>
          <w:w w:val="90"/>
        </w:rPr>
        <w:t>Linked In account: Marzieh Nojomi</w:t>
      </w:r>
      <w:r>
        <w:rPr>
          <w:spacing w:val="1"/>
          <w:w w:val="90"/>
        </w:rPr>
        <w:t> </w:t>
      </w:r>
      <w:r>
        <w:rPr/>
        <w:t>Session</w:t>
      </w:r>
      <w:r>
        <w:rPr>
          <w:spacing w:val="-12"/>
        </w:rPr>
        <w:t> </w:t>
      </w:r>
      <w:r>
        <w:rPr/>
        <w:t>name/</w:t>
      </w:r>
      <w:r>
        <w:rPr>
          <w:spacing w:val="-11"/>
        </w:rPr>
        <w:t> </w:t>
      </w:r>
      <w:r>
        <w:rPr/>
        <w:t>number:</w:t>
      </w:r>
    </w:p>
    <w:p>
      <w:pPr>
        <w:spacing w:line="221" w:lineRule="exact" w:before="0"/>
        <w:ind w:left="100" w:right="0" w:firstLine="0"/>
        <w:jc w:val="left"/>
        <w:rPr>
          <w:sz w:val="20"/>
        </w:rPr>
      </w:pPr>
      <w:r>
        <w:rPr>
          <w:w w:val="93"/>
          <w:sz w:val="20"/>
        </w:rPr>
        <w:t>Cate</w:t>
      </w:r>
      <w:r>
        <w:rPr>
          <w:spacing w:val="-2"/>
          <w:w w:val="93"/>
          <w:sz w:val="20"/>
        </w:rPr>
        <w:t>g</w:t>
      </w:r>
      <w:r>
        <w:rPr>
          <w:w w:val="93"/>
          <w:sz w:val="20"/>
        </w:rPr>
        <w:t>ory:</w:t>
      </w:r>
      <w:r>
        <w:rPr>
          <w:spacing w:val="2"/>
          <w:sz w:val="20"/>
        </w:rPr>
        <w:t> </w:t>
      </w:r>
      <w:r>
        <w:rPr>
          <w:spacing w:val="-2"/>
          <w:w w:val="81"/>
          <w:sz w:val="20"/>
        </w:rPr>
        <w:t>(</w:t>
      </w:r>
      <w:r>
        <w:rPr>
          <w:rFonts w:ascii="Arial"/>
          <w:b/>
          <w:spacing w:val="-1"/>
          <w:w w:val="90"/>
          <w:sz w:val="20"/>
          <w:u w:val="single"/>
        </w:rPr>
        <w:t>O</w:t>
      </w:r>
      <w:r>
        <w:rPr>
          <w:rFonts w:ascii="Arial"/>
          <w:b/>
          <w:spacing w:val="-2"/>
          <w:w w:val="90"/>
          <w:sz w:val="20"/>
          <w:u w:val="single"/>
        </w:rPr>
        <w:t>r</w:t>
      </w:r>
      <w:r>
        <w:rPr>
          <w:rFonts w:ascii="Arial"/>
          <w:b/>
          <w:w w:val="95"/>
          <w:sz w:val="20"/>
          <w:u w:val="single"/>
        </w:rPr>
        <w:t>a</w:t>
      </w:r>
      <w:r>
        <w:rPr>
          <w:rFonts w:ascii="Arial"/>
          <w:b/>
          <w:w w:val="93"/>
          <w:sz w:val="20"/>
          <w:u w:val="single"/>
        </w:rPr>
        <w:t>l</w:t>
      </w:r>
      <w:r>
        <w:rPr>
          <w:rFonts w:ascii="Arial"/>
          <w:b/>
          <w:spacing w:val="-4"/>
          <w:sz w:val="20"/>
          <w:u w:val="single"/>
        </w:rPr>
        <w:t> </w:t>
      </w:r>
      <w:r>
        <w:rPr>
          <w:rFonts w:ascii="Arial"/>
          <w:b/>
          <w:w w:val="82"/>
          <w:sz w:val="20"/>
          <w:u w:val="single"/>
        </w:rPr>
        <w:t>pre</w:t>
      </w:r>
      <w:r>
        <w:rPr>
          <w:rFonts w:ascii="Arial"/>
          <w:b/>
          <w:spacing w:val="-1"/>
          <w:w w:val="82"/>
          <w:sz w:val="20"/>
          <w:u w:val="single"/>
        </w:rPr>
        <w:t>s</w:t>
      </w:r>
      <w:r>
        <w:rPr>
          <w:rFonts w:ascii="Arial"/>
          <w:b/>
          <w:w w:val="86"/>
          <w:sz w:val="20"/>
          <w:u w:val="single"/>
        </w:rPr>
        <w:t>enta</w:t>
      </w:r>
      <w:r>
        <w:rPr>
          <w:rFonts w:ascii="Arial"/>
          <w:b/>
          <w:spacing w:val="-1"/>
          <w:w w:val="86"/>
          <w:sz w:val="20"/>
          <w:u w:val="single"/>
        </w:rPr>
        <w:t>t</w:t>
      </w:r>
      <w:r>
        <w:rPr>
          <w:rFonts w:ascii="Arial"/>
          <w:b/>
          <w:w w:val="88"/>
          <w:sz w:val="20"/>
          <w:u w:val="single"/>
        </w:rPr>
        <w:t>ion</w:t>
      </w:r>
      <w:r>
        <w:rPr>
          <w:w w:val="180"/>
          <w:sz w:val="20"/>
        </w:rPr>
        <w:t>/</w:t>
      </w:r>
      <w:r>
        <w:rPr>
          <w:spacing w:val="1"/>
          <w:sz w:val="20"/>
        </w:rPr>
        <w:t> </w:t>
      </w:r>
      <w:r>
        <w:rPr>
          <w:w w:val="80"/>
          <w:sz w:val="20"/>
        </w:rPr>
        <w:t>Pos</w:t>
      </w:r>
      <w:r>
        <w:rPr>
          <w:spacing w:val="-1"/>
          <w:w w:val="80"/>
          <w:sz w:val="20"/>
        </w:rPr>
        <w:t>t</w:t>
      </w:r>
      <w:r>
        <w:rPr>
          <w:w w:val="93"/>
          <w:sz w:val="20"/>
        </w:rPr>
        <w:t>er</w:t>
      </w:r>
      <w:r>
        <w:rPr>
          <w:spacing w:val="2"/>
          <w:sz w:val="20"/>
        </w:rPr>
        <w:t> </w:t>
      </w:r>
      <w:r>
        <w:rPr>
          <w:spacing w:val="-2"/>
          <w:w w:val="99"/>
          <w:sz w:val="20"/>
        </w:rPr>
        <w:t>p</w:t>
      </w:r>
      <w:r>
        <w:rPr>
          <w:w w:val="84"/>
          <w:sz w:val="20"/>
        </w:rPr>
        <w:t>re</w:t>
      </w:r>
      <w:r>
        <w:rPr>
          <w:spacing w:val="-1"/>
          <w:w w:val="84"/>
          <w:sz w:val="20"/>
        </w:rPr>
        <w:t>s</w:t>
      </w:r>
      <w:r>
        <w:rPr>
          <w:w w:val="91"/>
          <w:sz w:val="20"/>
        </w:rPr>
        <w:t>entat</w:t>
      </w:r>
      <w:r>
        <w:rPr>
          <w:spacing w:val="-1"/>
          <w:w w:val="91"/>
          <w:sz w:val="20"/>
        </w:rPr>
        <w:t>i</w:t>
      </w:r>
      <w:r>
        <w:rPr>
          <w:w w:val="90"/>
          <w:sz w:val="20"/>
        </w:rPr>
        <w:t>o</w:t>
      </w:r>
      <w:r>
        <w:rPr>
          <w:w w:val="78"/>
          <w:sz w:val="20"/>
        </w:rPr>
        <w:t>n</w:t>
      </w:r>
    </w:p>
    <w:p>
      <w:pPr>
        <w:spacing w:after="0" w:line="221" w:lineRule="exact"/>
        <w:jc w:val="left"/>
        <w:rPr>
          <w:sz w:val="20"/>
        </w:rPr>
        <w:sectPr>
          <w:type w:val="continuous"/>
          <w:pgSz w:w="11910" w:h="16840"/>
          <w:pgMar w:top="1020" w:bottom="280" w:left="520" w:right="46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6" w:hanging="189"/>
        <w:jc w:val="left"/>
      </w:pPr>
      <w:rPr>
        <w:rFonts w:hint="default" w:ascii="Calibri" w:hAnsi="Calibri" w:eastAsia="Calibri" w:cs="Calibri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18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4" w:hanging="18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2" w:hanging="18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89" w:hanging="18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36" w:hanging="18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84" w:hanging="18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31" w:hanging="18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9" w:hanging="18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6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27" w:lineRule="exact"/>
      <w:ind w:left="100"/>
      <w:outlineLvl w:val="2"/>
    </w:pPr>
    <w:rPr>
      <w:rFonts w:ascii="Cambria" w:hAnsi="Cambria" w:eastAsia="Cambria" w:cs="Cambria"/>
      <w:b/>
      <w:bCs/>
      <w:i/>
      <w:i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2"/>
      <w:ind w:left="30"/>
    </w:pPr>
    <w:rPr>
      <w:rFonts w:ascii="Cambria Math" w:hAnsi="Cambria Math" w:eastAsia="Cambria Math" w:cs="Cambria Math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6" w:right="25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mnojomi@iums.ac.ir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2023-02-03T09:01:34Z</dcterms:created>
  <dcterms:modified xsi:type="dcterms:W3CDTF">2023-02-03T09:01:34Z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2023-02-03T00:00:00Z</vt:filetime>
  </property>
</Properties>
</file>