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C8296E" w14:textId="4C505A6D" w:rsidR="00AE3E37" w:rsidRDefault="00D95075" w:rsidP="000534A1">
      <w:pPr>
        <w:pStyle w:val="Heading1"/>
        <w:spacing w:before="170"/>
        <w:ind w:left="0"/>
        <w:jc w:val="both"/>
      </w:pPr>
      <w:bookmarkStart w:id="0" w:name="_GoBack"/>
      <w:bookmarkEnd w:id="0"/>
      <w:r>
        <w:rPr>
          <w:color w:val="337AB7"/>
        </w:rPr>
        <w:t xml:space="preserve">Neonatal and Paediatric ECMO Transport and Survival Outcomes – how safe is it? </w:t>
      </w:r>
    </w:p>
    <w:p w14:paraId="1FEA41C5" w14:textId="73D2E6E5" w:rsidR="005973B9" w:rsidRPr="00D95075" w:rsidRDefault="00D95075" w:rsidP="005973B9">
      <w:pPr>
        <w:pStyle w:val="BodyText"/>
        <w:spacing w:before="73" w:line="198" w:lineRule="exact"/>
        <w:ind w:left="100" w:right="5987"/>
        <w:rPr>
          <w:rFonts w:ascii="Arial"/>
        </w:rPr>
      </w:pPr>
      <w:r>
        <w:rPr>
          <w:rFonts w:ascii="Arial"/>
          <w:lang w:val="sv-SE"/>
        </w:rPr>
        <w:t>Shahzad K. Akram</w:t>
      </w:r>
      <w:r w:rsidR="005973B9" w:rsidRPr="00D95075">
        <w:rPr>
          <w:rFonts w:ascii="Arial"/>
          <w:lang w:val="sv-SE"/>
        </w:rPr>
        <w:t xml:space="preserve">, </w:t>
      </w:r>
      <w:r>
        <w:rPr>
          <w:rFonts w:ascii="Arial"/>
          <w:lang w:val="sv-SE"/>
        </w:rPr>
        <w:t>MD</w:t>
      </w:r>
      <w:r w:rsidR="005973B9" w:rsidRPr="00D95075">
        <w:rPr>
          <w:rFonts w:ascii="Arial"/>
          <w:lang w:val="sv-SE"/>
        </w:rPr>
        <w:t xml:space="preserve"> PhD, </w:t>
      </w:r>
      <w:r>
        <w:rPr>
          <w:rFonts w:ascii="Arial"/>
          <w:lang w:val="sv-SE"/>
        </w:rPr>
        <w:t>Alexander Fletcher- Sandersj</w:t>
      </w:r>
      <w:r w:rsidR="000D51F5">
        <w:rPr>
          <w:rFonts w:ascii="Arial"/>
          <w:lang w:val="sv-SE"/>
        </w:rPr>
        <w:t>ö</w:t>
      </w:r>
      <w:r>
        <w:rPr>
          <w:rFonts w:ascii="Arial"/>
          <w:lang w:val="sv-SE"/>
        </w:rPr>
        <w:t>ö</w:t>
      </w:r>
      <w:r>
        <w:rPr>
          <w:rFonts w:ascii="Arial"/>
          <w:lang w:val="sv-SE"/>
        </w:rPr>
        <w:t>, MD, Bj</w:t>
      </w:r>
      <w:r>
        <w:rPr>
          <w:rFonts w:ascii="Arial"/>
          <w:lang w:val="sv-SE"/>
        </w:rPr>
        <w:t>ö</w:t>
      </w:r>
      <w:r>
        <w:rPr>
          <w:rFonts w:ascii="Arial"/>
          <w:lang w:val="sv-SE"/>
        </w:rPr>
        <w:t xml:space="preserve">rn Frenckner, MD, PhD, Lars Broman, MD, PhD, Dept. </w:t>
      </w:r>
      <w:r w:rsidRPr="00D95075">
        <w:rPr>
          <w:rFonts w:ascii="Arial"/>
        </w:rPr>
        <w:t xml:space="preserve">Of ECMO, Karolinska </w:t>
      </w:r>
      <w:r w:rsidR="000D51F5" w:rsidRPr="00D95075">
        <w:rPr>
          <w:rFonts w:ascii="Arial"/>
        </w:rPr>
        <w:t>University</w:t>
      </w:r>
      <w:r w:rsidRPr="00D95075">
        <w:rPr>
          <w:rFonts w:ascii="Arial"/>
        </w:rPr>
        <w:t xml:space="preserve"> Hospital</w:t>
      </w:r>
      <w:r w:rsidR="005973B9" w:rsidRPr="00D95075">
        <w:rPr>
          <w:rFonts w:ascii="Arial"/>
        </w:rPr>
        <w:t>,</w:t>
      </w:r>
      <w:r>
        <w:rPr>
          <w:rFonts w:ascii="Arial"/>
        </w:rPr>
        <w:t xml:space="preserve"> Stockholm, Sweden. </w:t>
      </w:r>
    </w:p>
    <w:p w14:paraId="78E9F01D" w14:textId="77777777" w:rsidR="00AE3E37" w:rsidRPr="00D95075" w:rsidRDefault="00AE3E37">
      <w:pPr>
        <w:pStyle w:val="BodyText"/>
        <w:rPr>
          <w:rFonts w:ascii="Arial"/>
          <w:sz w:val="20"/>
        </w:rPr>
      </w:pPr>
    </w:p>
    <w:p w14:paraId="41AD88AA" w14:textId="77777777" w:rsidR="00AE3E37" w:rsidRPr="00D95075" w:rsidRDefault="00AE3E37">
      <w:pPr>
        <w:rPr>
          <w:rFonts w:ascii="Arial"/>
          <w:sz w:val="21"/>
        </w:rPr>
        <w:sectPr w:rsidR="00AE3E37" w:rsidRPr="00D95075" w:rsidSect="008E5477">
          <w:footerReference w:type="default" r:id="rId8"/>
          <w:type w:val="continuous"/>
          <w:pgSz w:w="11910" w:h="16840"/>
          <w:pgMar w:top="995" w:right="600" w:bottom="840" w:left="620" w:header="0" w:footer="0" w:gutter="0"/>
          <w:cols w:space="720"/>
          <w:docGrid w:linePitch="299"/>
        </w:sectPr>
      </w:pPr>
    </w:p>
    <w:p w14:paraId="3960AC9D"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4599BC2" w14:textId="77777777" w:rsidR="00D95075" w:rsidRPr="00DF2831" w:rsidRDefault="00D95075" w:rsidP="00D95075">
      <w:pPr>
        <w:rPr>
          <w:rFonts w:eastAsia="Times New Roman" w:cstheme="minorHAnsi"/>
          <w:color w:val="2E2E2E"/>
          <w:lang w:val="en-GB" w:eastAsia="sv-SE"/>
        </w:rPr>
      </w:pPr>
      <w:r>
        <w:rPr>
          <w:rFonts w:eastAsia="Times New Roman" w:cstheme="minorHAnsi"/>
          <w:color w:val="2E2E2E"/>
          <w:lang w:val="en-GB" w:eastAsia="sv-SE"/>
        </w:rPr>
        <w:t xml:space="preserve">Background: </w:t>
      </w:r>
      <w:r w:rsidRPr="007D5308">
        <w:rPr>
          <w:rFonts w:eastAsia="Times New Roman" w:cstheme="minorHAnsi"/>
          <w:color w:val="2E2E2E"/>
          <w:lang w:val="en-GB" w:eastAsia="sv-SE"/>
        </w:rPr>
        <w:t xml:space="preserve">Extracorporeal membrane oxygenation (ECMO) decentralization has been increasing, with multiple (and lower volume) centres providing ECMO care, with increased mortality. The aim of this study was to provide a comprehensive summary of neonatal and paediatric ECMO transport conducted by an experienced centre looking at complications and survival outcomes. </w:t>
      </w:r>
      <w:r w:rsidRPr="007D5308">
        <w:rPr>
          <w:rFonts w:eastAsia="Times New Roman" w:cstheme="minorHAnsi"/>
          <w:color w:val="505050"/>
          <w:lang w:val="en-GB" w:eastAsia="sv-SE"/>
        </w:rPr>
        <w:t>Methods</w:t>
      </w:r>
    </w:p>
    <w:p w14:paraId="3F1CC509" w14:textId="6B29B546" w:rsidR="00AE3E37" w:rsidRPr="00D95075" w:rsidRDefault="00D95075" w:rsidP="00D95075">
      <w:pPr>
        <w:rPr>
          <w:rFonts w:eastAsia="Times New Roman" w:cstheme="minorHAnsi"/>
          <w:color w:val="2E2E2E"/>
          <w:lang w:val="en-GB" w:eastAsia="sv-SE"/>
        </w:rPr>
      </w:pPr>
      <w:r w:rsidRPr="007D5308">
        <w:rPr>
          <w:rFonts w:eastAsia="Times New Roman" w:cstheme="minorHAnsi"/>
          <w:color w:val="2E2E2E"/>
          <w:lang w:val="en-GB" w:eastAsia="sv-SE"/>
        </w:rPr>
        <w:t>This was a retrospective population-based observational </w:t>
      </w:r>
      <w:hyperlink r:id="rId9" w:tooltip="Learn more about cohort study from ScienceDirect's AI-generated Topic Pages" w:history="1">
        <w:r w:rsidRPr="007D5308">
          <w:rPr>
            <w:rFonts w:eastAsia="Times New Roman" w:cstheme="minorHAnsi"/>
            <w:color w:val="2E2E2E"/>
            <w:u w:val="single"/>
            <w:lang w:val="en-GB" w:eastAsia="sv-SE"/>
          </w:rPr>
          <w:t>cohort study</w:t>
        </w:r>
      </w:hyperlink>
      <w:r w:rsidRPr="007D5308">
        <w:rPr>
          <w:rFonts w:eastAsia="Times New Roman" w:cstheme="minorHAnsi"/>
          <w:color w:val="2E2E2E"/>
          <w:lang w:val="en-GB" w:eastAsia="sv-SE"/>
        </w:rPr>
        <w:t> of all neonatal and paediatric interhospital ECMO transports performed by the Karolinska University Hospital between 1996 and 2022. Medical records, clinical notes, and original transport protocols were collected and reviewed (following ethical approval)</w:t>
      </w:r>
      <w:r>
        <w:rPr>
          <w:rFonts w:eastAsia="Times New Roman" w:cstheme="minorHAnsi"/>
          <w:color w:val="2E2E2E"/>
          <w:lang w:val="en-GB" w:eastAsia="sv-SE"/>
        </w:rPr>
        <w:t xml:space="preserve">. </w:t>
      </w:r>
      <w:r>
        <w:rPr>
          <w:rFonts w:eastAsia="Times New Roman" w:cstheme="minorHAnsi"/>
          <w:color w:val="505050"/>
          <w:lang w:val="en-GB" w:eastAsia="sv-SE"/>
        </w:rPr>
        <w:t>R</w:t>
      </w:r>
      <w:r w:rsidRPr="007D5308">
        <w:rPr>
          <w:rFonts w:eastAsia="Times New Roman" w:cstheme="minorHAnsi"/>
          <w:color w:val="505050"/>
          <w:lang w:val="en-GB" w:eastAsia="sv-SE"/>
        </w:rPr>
        <w:t>esults</w:t>
      </w:r>
      <w:r>
        <w:rPr>
          <w:rFonts w:eastAsia="Times New Roman" w:cstheme="minorHAnsi"/>
          <w:color w:val="505050"/>
          <w:lang w:val="en-GB" w:eastAsia="sv-SE"/>
        </w:rPr>
        <w:t>:</w:t>
      </w:r>
      <w:r>
        <w:rPr>
          <w:rFonts w:eastAsia="Times New Roman" w:cstheme="minorHAnsi"/>
          <w:color w:val="2E2E2E"/>
          <w:lang w:val="en-GB" w:eastAsia="sv-SE"/>
        </w:rPr>
        <w:t xml:space="preserve"> </w:t>
      </w:r>
      <w:r w:rsidRPr="007D5308">
        <w:rPr>
          <w:rFonts w:eastAsia="Times New Roman" w:cstheme="minorHAnsi"/>
          <w:color w:val="2E2E2E"/>
          <w:lang w:val="en-GB" w:eastAsia="sv-SE"/>
        </w:rPr>
        <w:t>A total of 587 ECMO transports were performed. Transports included both national and international patients. Approximately 65% (n=380) were neonatal transports, and 35% (n=207) were paediatric. Complications occurred in approximately 20% of transports and were significantly associated with venoarterial ECMO (</w:t>
      </w:r>
      <w:r w:rsidRPr="007D5308">
        <w:rPr>
          <w:rFonts w:eastAsia="Times New Roman" w:cstheme="minorHAnsi"/>
          <w:i/>
          <w:iCs/>
          <w:color w:val="2E2E2E"/>
          <w:lang w:val="en-GB" w:eastAsia="sv-SE"/>
        </w:rPr>
        <w:t>p =</w:t>
      </w:r>
      <w:r w:rsidRPr="007D5308">
        <w:rPr>
          <w:rFonts w:eastAsia="Times New Roman" w:cstheme="minorHAnsi"/>
          <w:color w:val="2E2E2E"/>
          <w:lang w:val="en-GB" w:eastAsia="sv-SE"/>
        </w:rPr>
        <w:t> 0.04) and fixed-wing transport (</w:t>
      </w:r>
      <w:r w:rsidRPr="007D5308">
        <w:rPr>
          <w:rFonts w:eastAsia="Times New Roman" w:cstheme="minorHAnsi"/>
          <w:i/>
          <w:iCs/>
          <w:color w:val="2E2E2E"/>
          <w:lang w:val="en-GB" w:eastAsia="sv-SE"/>
        </w:rPr>
        <w:t>p =</w:t>
      </w:r>
      <w:r w:rsidRPr="007D5308">
        <w:rPr>
          <w:rFonts w:eastAsia="Times New Roman" w:cstheme="minorHAnsi"/>
          <w:color w:val="2E2E2E"/>
          <w:lang w:val="en-GB" w:eastAsia="sv-SE"/>
        </w:rPr>
        <w:t> 0.01). Complications</w:t>
      </w:r>
      <w:r>
        <w:rPr>
          <w:rFonts w:eastAsia="Times New Roman" w:cstheme="minorHAnsi"/>
          <w:color w:val="2E2E2E"/>
          <w:lang w:val="en-GB" w:eastAsia="sv-SE"/>
        </w:rPr>
        <w:t xml:space="preserve"> occurred in 28% of transports and</w:t>
      </w:r>
      <w:r w:rsidRPr="007D5308">
        <w:rPr>
          <w:rFonts w:eastAsia="Times New Roman" w:cstheme="minorHAnsi"/>
          <w:color w:val="2E2E2E"/>
          <w:lang w:val="en-GB" w:eastAsia="sv-SE"/>
        </w:rPr>
        <w:t xml:space="preserve"> ranged from haemorrhage to</w:t>
      </w:r>
      <w:r>
        <w:rPr>
          <w:rFonts w:eastAsia="Times New Roman" w:cstheme="minorHAnsi"/>
          <w:color w:val="2E2E2E"/>
          <w:lang w:val="en-GB" w:eastAsia="sv-SE"/>
        </w:rPr>
        <w:t xml:space="preserve"> cardiac tamponade and pump-related problems.</w:t>
      </w:r>
      <w:r w:rsidRPr="007D5308">
        <w:rPr>
          <w:rFonts w:eastAsia="Times New Roman" w:cstheme="minorHAnsi"/>
          <w:color w:val="2E2E2E"/>
          <w:lang w:val="en-GB" w:eastAsia="sv-SE"/>
        </w:rPr>
        <w:t xml:space="preserve"> </w:t>
      </w:r>
      <w:r>
        <w:rPr>
          <w:rFonts w:eastAsia="Times New Roman" w:cstheme="minorHAnsi"/>
          <w:color w:val="2E2E2E"/>
          <w:lang w:val="en-GB" w:eastAsia="sv-SE"/>
        </w:rPr>
        <w:t xml:space="preserve">There was no increased mortality seen despite these complications. </w:t>
      </w:r>
      <w:r w:rsidRPr="007D5308">
        <w:rPr>
          <w:rFonts w:eastAsia="Times New Roman" w:cstheme="minorHAnsi"/>
          <w:color w:val="2E2E2E"/>
          <w:lang w:val="en-GB" w:eastAsia="sv-SE"/>
        </w:rPr>
        <w:t>Overall survival of all transport patients was approx</w:t>
      </w:r>
      <w:r>
        <w:rPr>
          <w:rFonts w:eastAsia="Times New Roman" w:cstheme="minorHAnsi"/>
          <w:color w:val="2E2E2E"/>
          <w:lang w:val="en-GB" w:eastAsia="sv-SE"/>
        </w:rPr>
        <w:t xml:space="preserve">imately </w:t>
      </w:r>
      <w:r w:rsidRPr="007D5308">
        <w:rPr>
          <w:rFonts w:eastAsia="Times New Roman" w:cstheme="minorHAnsi"/>
          <w:color w:val="2E2E2E"/>
          <w:lang w:val="en-GB" w:eastAsia="sv-SE"/>
        </w:rPr>
        <w:t xml:space="preserve">80%. </w:t>
      </w:r>
      <w:r w:rsidRPr="007D5308">
        <w:rPr>
          <w:rFonts w:eastAsia="Times New Roman" w:cstheme="minorHAnsi"/>
          <w:color w:val="505050"/>
          <w:lang w:val="en-GB" w:eastAsia="sv-SE"/>
        </w:rPr>
        <w:t>Conclusions</w:t>
      </w:r>
      <w:r>
        <w:rPr>
          <w:rFonts w:eastAsia="Times New Roman" w:cstheme="minorHAnsi"/>
          <w:color w:val="505050"/>
          <w:lang w:val="en-GB" w:eastAsia="sv-SE"/>
        </w:rPr>
        <w:t>:</w:t>
      </w:r>
      <w:r>
        <w:rPr>
          <w:rFonts w:eastAsia="Times New Roman" w:cstheme="minorHAnsi"/>
          <w:color w:val="2E2E2E"/>
          <w:lang w:val="en-GB" w:eastAsia="sv-SE"/>
        </w:rPr>
        <w:t xml:space="preserve"> </w:t>
      </w:r>
      <w:r w:rsidRPr="007D5308">
        <w:rPr>
          <w:rFonts w:eastAsia="Times New Roman" w:cstheme="minorHAnsi"/>
          <w:color w:val="2E2E2E"/>
          <w:lang w:val="en-GB" w:eastAsia="sv-SE"/>
        </w:rPr>
        <w:t xml:space="preserve">Despite transport related complications, there was no increase in overall mortality with safe transport </w:t>
      </w:r>
      <w:r w:rsidR="000D51F5">
        <w:rPr>
          <w:rFonts w:eastAsia="Times New Roman" w:cstheme="minorHAnsi"/>
          <w:color w:val="2E2E2E"/>
          <w:lang w:val="en-GB" w:eastAsia="sv-SE"/>
        </w:rPr>
        <w:t xml:space="preserve">on ECMO. </w:t>
      </w:r>
      <w:r w:rsidRPr="007D5308">
        <w:rPr>
          <w:rFonts w:eastAsia="Times New Roman" w:cstheme="minorHAnsi"/>
          <w:color w:val="2E2E2E"/>
          <w:lang w:val="en-GB" w:eastAsia="sv-SE"/>
        </w:rPr>
        <w:t xml:space="preserve">We conclude that interhospital ECMO transportation is </w:t>
      </w:r>
      <w:r w:rsidRPr="007D5308">
        <w:rPr>
          <w:rFonts w:eastAsia="Times New Roman" w:cstheme="minorHAnsi"/>
          <w:color w:val="2E2E2E"/>
          <w:lang w:val="en-GB" w:eastAsia="sv-SE"/>
        </w:rPr>
        <w:lastRenderedPageBreak/>
        <w:t>safe, when conducted by an experienced centre</w:t>
      </w:r>
      <w:r w:rsidR="000D51F5">
        <w:rPr>
          <w:rFonts w:eastAsia="Times New Roman" w:cstheme="minorHAnsi"/>
          <w:color w:val="2E2E2E"/>
          <w:lang w:val="en-GB" w:eastAsia="sv-SE"/>
        </w:rPr>
        <w:t>, with a team of an ECMO Surgeon, ECMO intensivist and an ECMO Specialist Nurse</w:t>
      </w:r>
      <w:r w:rsidRPr="007D5308">
        <w:rPr>
          <w:rFonts w:eastAsia="Times New Roman" w:cstheme="minorHAnsi"/>
          <w:color w:val="2E2E2E"/>
          <w:lang w:val="en-GB" w:eastAsia="sv-SE"/>
        </w:rPr>
        <w:t xml:space="preserve">, and patients should be transported for </w:t>
      </w:r>
      <w:r w:rsidR="000D51F5">
        <w:rPr>
          <w:rFonts w:eastAsia="Times New Roman" w:cstheme="minorHAnsi"/>
          <w:color w:val="2E2E2E"/>
          <w:lang w:val="en-GB" w:eastAsia="sv-SE"/>
        </w:rPr>
        <w:t xml:space="preserve">supportive </w:t>
      </w:r>
      <w:r w:rsidRPr="007D5308">
        <w:rPr>
          <w:rFonts w:eastAsia="Times New Roman" w:cstheme="minorHAnsi"/>
          <w:color w:val="2E2E2E"/>
          <w:lang w:val="en-GB" w:eastAsia="sv-SE"/>
        </w:rPr>
        <w:t>treatment to a high-volume ECMO centre.</w:t>
      </w:r>
    </w:p>
    <w:p w14:paraId="4DBFC3C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721F801" w14:textId="77777777" w:rsidR="00D95075" w:rsidRPr="00D95075" w:rsidRDefault="007F1C77" w:rsidP="00D95075">
      <w:pPr>
        <w:pStyle w:val="ListParagraph"/>
        <w:numPr>
          <w:ilvl w:val="0"/>
          <w:numId w:val="3"/>
        </w:numPr>
        <w:rPr>
          <w:rStyle w:val="docsum-pmid"/>
          <w:rFonts w:eastAsia="Times New Roman"/>
          <w:color w:val="000000" w:themeColor="text1"/>
          <w:sz w:val="18"/>
          <w:szCs w:val="18"/>
        </w:rPr>
      </w:pPr>
      <w:hyperlink r:id="rId10" w:history="1">
        <w:r w:rsidR="00D95075" w:rsidRPr="00D95075">
          <w:rPr>
            <w:rStyle w:val="Hyperlink"/>
            <w:color w:val="000000" w:themeColor="text1"/>
            <w:sz w:val="18"/>
            <w:szCs w:val="18"/>
          </w:rPr>
          <w:t>Thoracic injuries in trauma patients: epidemiology and its influence on mortality.</w:t>
        </w:r>
      </w:hyperlink>
      <w:r w:rsidR="00D95075" w:rsidRPr="00D95075">
        <w:rPr>
          <w:color w:val="000000" w:themeColor="text1"/>
          <w:sz w:val="18"/>
          <w:szCs w:val="18"/>
        </w:rPr>
        <w:t xml:space="preserve"> </w:t>
      </w:r>
      <w:r w:rsidR="00D95075" w:rsidRPr="00D95075">
        <w:rPr>
          <w:rStyle w:val="docsum-authors"/>
          <w:color w:val="000000" w:themeColor="text1"/>
          <w:sz w:val="18"/>
          <w:szCs w:val="18"/>
        </w:rPr>
        <w:t>Lundin A,</w:t>
      </w:r>
      <w:r w:rsidR="00D95075" w:rsidRPr="00D95075">
        <w:rPr>
          <w:rStyle w:val="apple-converted-space"/>
          <w:color w:val="000000" w:themeColor="text1"/>
          <w:sz w:val="18"/>
          <w:szCs w:val="18"/>
        </w:rPr>
        <w:t> </w:t>
      </w:r>
      <w:r w:rsidR="00D95075" w:rsidRPr="00D95075">
        <w:rPr>
          <w:rStyle w:val="docsum-authors"/>
          <w:b/>
          <w:bCs/>
          <w:color w:val="000000" w:themeColor="text1"/>
          <w:sz w:val="18"/>
          <w:szCs w:val="18"/>
        </w:rPr>
        <w:t>Akram SK</w:t>
      </w:r>
      <w:r w:rsidR="00D95075" w:rsidRPr="00D95075">
        <w:rPr>
          <w:rStyle w:val="docsum-authors"/>
          <w:color w:val="000000" w:themeColor="text1"/>
          <w:sz w:val="18"/>
          <w:szCs w:val="18"/>
        </w:rPr>
        <w:t>, Berg L, Göransson KE, Enocson A.</w:t>
      </w:r>
      <w:r w:rsidR="00D95075" w:rsidRPr="00D95075">
        <w:rPr>
          <w:rStyle w:val="docsum-journal-citation"/>
          <w:color w:val="000000" w:themeColor="text1"/>
          <w:sz w:val="18"/>
          <w:szCs w:val="18"/>
        </w:rPr>
        <w:t>Scand J Trauma Resusc Emerg Med. 2022 Dec 12;30(1):69. doi: 10.1186/s13049-022-01058-6.</w:t>
      </w:r>
      <w:r w:rsidR="00D95075" w:rsidRPr="00D95075">
        <w:rPr>
          <w:rStyle w:val="citation-part"/>
          <w:color w:val="000000" w:themeColor="text1"/>
          <w:sz w:val="18"/>
          <w:szCs w:val="18"/>
        </w:rPr>
        <w:t>PMID:</w:t>
      </w:r>
      <w:r w:rsidR="00D95075" w:rsidRPr="00D95075">
        <w:rPr>
          <w:rStyle w:val="apple-converted-space"/>
          <w:color w:val="000000" w:themeColor="text1"/>
          <w:sz w:val="18"/>
          <w:szCs w:val="18"/>
        </w:rPr>
        <w:t> </w:t>
      </w:r>
      <w:r w:rsidR="00D95075" w:rsidRPr="00D95075">
        <w:rPr>
          <w:rStyle w:val="docsum-pmid"/>
          <w:color w:val="000000" w:themeColor="text1"/>
          <w:sz w:val="18"/>
          <w:szCs w:val="18"/>
        </w:rPr>
        <w:t>36503613.</w:t>
      </w:r>
    </w:p>
    <w:p w14:paraId="21FF7686" w14:textId="5A8A55AD" w:rsidR="00D95075" w:rsidRPr="00D95075" w:rsidRDefault="00D95075" w:rsidP="00D95075">
      <w:pPr>
        <w:pStyle w:val="ListParagraph"/>
        <w:numPr>
          <w:ilvl w:val="0"/>
          <w:numId w:val="3"/>
        </w:numPr>
        <w:rPr>
          <w:rFonts w:eastAsia="Times New Roman"/>
          <w:color w:val="000000" w:themeColor="text1"/>
          <w:sz w:val="18"/>
          <w:szCs w:val="18"/>
        </w:rPr>
      </w:pPr>
      <w:r w:rsidRPr="00D95075">
        <w:rPr>
          <w:color w:val="000000" w:themeColor="text1"/>
          <w:sz w:val="18"/>
          <w:szCs w:val="18"/>
        </w:rPr>
        <w:t xml:space="preserve">Placental Apoptosis in Small for Gestational Age Babies: A Comparison between Swedish and Pakistani Populations. June 2014. </w:t>
      </w:r>
      <w:hyperlink r:id="rId11" w:history="1">
        <w:r w:rsidRPr="00D95075">
          <w:rPr>
            <w:rStyle w:val="Hyperlink"/>
            <w:color w:val="000000" w:themeColor="text1"/>
            <w:sz w:val="18"/>
            <w:szCs w:val="18"/>
            <w:bdr w:val="none" w:sz="0" w:space="0" w:color="auto" w:frame="1"/>
          </w:rPr>
          <w:t>International Journal of Child Health and Nutrition</w:t>
        </w:r>
      </w:hyperlink>
      <w:r w:rsidRPr="00D95075">
        <w:rPr>
          <w:color w:val="000000" w:themeColor="text1"/>
          <w:sz w:val="18"/>
          <w:szCs w:val="18"/>
        </w:rPr>
        <w:t>3(2):99-107. DOI:</w:t>
      </w:r>
      <w:hyperlink r:id="rId12" w:tgtFrame="_blank" w:history="1">
        <w:r w:rsidRPr="00D95075">
          <w:rPr>
            <w:rStyle w:val="Hyperlink"/>
            <w:color w:val="000000" w:themeColor="text1"/>
            <w:sz w:val="18"/>
            <w:szCs w:val="18"/>
            <w:bdr w:val="none" w:sz="0" w:space="0" w:color="auto" w:frame="1"/>
          </w:rPr>
          <w:t>10.6000/1929-4247.2014.03.02.5</w:t>
        </w:r>
      </w:hyperlink>
      <w:r w:rsidRPr="00D95075">
        <w:rPr>
          <w:color w:val="000000" w:themeColor="text1"/>
          <w:sz w:val="18"/>
          <w:szCs w:val="18"/>
        </w:rPr>
        <w:t>.</w:t>
      </w:r>
    </w:p>
    <w:p w14:paraId="34302D97" w14:textId="5CED6D63" w:rsidR="00D95075" w:rsidRPr="00D95075" w:rsidRDefault="007F1C77" w:rsidP="00D95075">
      <w:pPr>
        <w:pStyle w:val="ListParagraph"/>
        <w:numPr>
          <w:ilvl w:val="0"/>
          <w:numId w:val="3"/>
        </w:numPr>
        <w:rPr>
          <w:rFonts w:eastAsia="Times New Roman"/>
          <w:color w:val="000000" w:themeColor="text1"/>
          <w:sz w:val="18"/>
          <w:szCs w:val="18"/>
        </w:rPr>
      </w:pPr>
      <w:hyperlink r:id="rId13" w:history="1">
        <w:r w:rsidR="00D95075" w:rsidRPr="00D95075">
          <w:rPr>
            <w:rStyle w:val="Hyperlink"/>
            <w:color w:val="000000" w:themeColor="text1"/>
            <w:sz w:val="18"/>
            <w:szCs w:val="18"/>
          </w:rPr>
          <w:t>Placental IGF-I, IGFBP-1, zinc, and iron, and maternal and infant anthropometry at birth.</w:t>
        </w:r>
      </w:hyperlink>
      <w:r w:rsidR="00D95075" w:rsidRPr="00D95075">
        <w:rPr>
          <w:color w:val="000000" w:themeColor="text1"/>
          <w:sz w:val="18"/>
          <w:szCs w:val="18"/>
        </w:rPr>
        <w:t xml:space="preserve"> </w:t>
      </w:r>
      <w:r w:rsidR="00D95075" w:rsidRPr="00D95075">
        <w:rPr>
          <w:rStyle w:val="docsum-authors"/>
          <w:b/>
          <w:bCs/>
          <w:color w:val="000000" w:themeColor="text1"/>
          <w:sz w:val="18"/>
          <w:szCs w:val="18"/>
          <w:lang w:val="sv-SE"/>
        </w:rPr>
        <w:t>Akram SK</w:t>
      </w:r>
      <w:r w:rsidR="00D95075" w:rsidRPr="00D95075">
        <w:rPr>
          <w:rStyle w:val="docsum-authors"/>
          <w:color w:val="000000" w:themeColor="text1"/>
          <w:sz w:val="18"/>
          <w:szCs w:val="18"/>
          <w:lang w:val="sv-SE"/>
        </w:rPr>
        <w:t>, Carlsson-Skwirut C, Bhutta ZA, Söder O.</w:t>
      </w:r>
      <w:r w:rsidR="00D95075" w:rsidRPr="00D95075">
        <w:rPr>
          <w:rStyle w:val="docsum-journal-citation"/>
          <w:color w:val="000000" w:themeColor="text1"/>
          <w:sz w:val="18"/>
          <w:szCs w:val="18"/>
          <w:lang w:val="sv-SE"/>
        </w:rPr>
        <w:t xml:space="preserve">Acta Paediatr. </w:t>
      </w:r>
      <w:r w:rsidR="00D95075" w:rsidRPr="00D95075">
        <w:rPr>
          <w:rStyle w:val="docsum-journal-citation"/>
          <w:color w:val="000000" w:themeColor="text1"/>
          <w:sz w:val="18"/>
          <w:szCs w:val="18"/>
        </w:rPr>
        <w:t>2011 Nov;100(11):1504-9. doi: 10.1111/j.1651-2227.2011.02336.x. Epub 2011 May 25.</w:t>
      </w:r>
      <w:r w:rsidR="00D95075" w:rsidRPr="00D95075">
        <w:rPr>
          <w:rStyle w:val="citation-part"/>
          <w:color w:val="000000" w:themeColor="text1"/>
          <w:sz w:val="18"/>
          <w:szCs w:val="18"/>
        </w:rPr>
        <w:t>PMID:</w:t>
      </w:r>
      <w:r w:rsidR="00D95075" w:rsidRPr="00D95075">
        <w:rPr>
          <w:rStyle w:val="apple-converted-space"/>
          <w:color w:val="000000" w:themeColor="text1"/>
          <w:sz w:val="18"/>
          <w:szCs w:val="18"/>
        </w:rPr>
        <w:t> </w:t>
      </w:r>
      <w:r w:rsidR="00D95075" w:rsidRPr="00D95075">
        <w:rPr>
          <w:rStyle w:val="docsum-pmid"/>
          <w:color w:val="000000" w:themeColor="text1"/>
          <w:sz w:val="18"/>
          <w:szCs w:val="18"/>
        </w:rPr>
        <w:t>21539604</w:t>
      </w:r>
    </w:p>
    <w:p w14:paraId="2F0792AC" w14:textId="0805BA6C" w:rsidR="00D95075" w:rsidRPr="00D95075" w:rsidRDefault="007F1C77" w:rsidP="00D95075">
      <w:pPr>
        <w:pStyle w:val="ListParagraph"/>
        <w:numPr>
          <w:ilvl w:val="0"/>
          <w:numId w:val="3"/>
        </w:numPr>
        <w:rPr>
          <w:rFonts w:eastAsia="Times New Roman"/>
          <w:color w:val="000000" w:themeColor="text1"/>
          <w:sz w:val="18"/>
          <w:szCs w:val="18"/>
        </w:rPr>
      </w:pPr>
      <w:hyperlink r:id="rId14" w:history="1">
        <w:r w:rsidR="00D95075" w:rsidRPr="00D95075">
          <w:rPr>
            <w:rStyle w:val="Hyperlink"/>
            <w:color w:val="000000" w:themeColor="text1"/>
            <w:sz w:val="18"/>
            <w:szCs w:val="18"/>
          </w:rPr>
          <w:t>Placental IGF-I, estrogen receptor, and progesterone receptor expression, and maternal anthropometry in growth-restricted pregnancies in the Swedish population.</w:t>
        </w:r>
      </w:hyperlink>
      <w:r w:rsidR="00D95075" w:rsidRPr="00D95075">
        <w:rPr>
          <w:color w:val="000000" w:themeColor="text1"/>
          <w:sz w:val="18"/>
          <w:szCs w:val="18"/>
        </w:rPr>
        <w:t xml:space="preserve"> </w:t>
      </w:r>
      <w:r w:rsidR="00D95075" w:rsidRPr="00D95075">
        <w:rPr>
          <w:rStyle w:val="docsum-authors"/>
          <w:b/>
          <w:bCs/>
          <w:color w:val="000000" w:themeColor="text1"/>
          <w:sz w:val="18"/>
          <w:szCs w:val="18"/>
        </w:rPr>
        <w:t>Akram SK</w:t>
      </w:r>
      <w:r w:rsidR="00D95075" w:rsidRPr="00D95075">
        <w:rPr>
          <w:rStyle w:val="docsum-authors"/>
          <w:color w:val="000000" w:themeColor="text1"/>
          <w:sz w:val="18"/>
          <w:szCs w:val="18"/>
        </w:rPr>
        <w:t>, Sahlin L, Ostlund E, Hagenäs L, Fried G, Söder O.</w:t>
      </w:r>
      <w:r w:rsidR="00D95075" w:rsidRPr="00D95075">
        <w:rPr>
          <w:rStyle w:val="docsum-journal-citation"/>
          <w:color w:val="000000" w:themeColor="text1"/>
          <w:sz w:val="18"/>
          <w:szCs w:val="18"/>
        </w:rPr>
        <w:t>Horm Res Paediatr. 2011 Feb;75(2):131-7. doi: 10.1159/000320466. Epub 2010 Oct 21.</w:t>
      </w:r>
      <w:r w:rsidR="00D95075" w:rsidRPr="00D95075">
        <w:rPr>
          <w:rStyle w:val="citation-part"/>
          <w:color w:val="000000" w:themeColor="text1"/>
          <w:sz w:val="18"/>
          <w:szCs w:val="18"/>
        </w:rPr>
        <w:t>PMID:</w:t>
      </w:r>
      <w:r w:rsidR="00D95075" w:rsidRPr="00D95075">
        <w:rPr>
          <w:rStyle w:val="apple-converted-space"/>
          <w:color w:val="000000" w:themeColor="text1"/>
          <w:sz w:val="18"/>
          <w:szCs w:val="18"/>
        </w:rPr>
        <w:t> </w:t>
      </w:r>
      <w:r w:rsidR="00D95075" w:rsidRPr="00D95075">
        <w:rPr>
          <w:rStyle w:val="docsum-pmid"/>
          <w:color w:val="000000" w:themeColor="text1"/>
          <w:sz w:val="18"/>
          <w:szCs w:val="18"/>
        </w:rPr>
        <w:t>20962507.</w:t>
      </w:r>
    </w:p>
    <w:p w14:paraId="591CEE5C" w14:textId="5ECD7C47" w:rsidR="005973B9" w:rsidRPr="00D95075" w:rsidRDefault="007F1C77" w:rsidP="00D95075">
      <w:pPr>
        <w:pStyle w:val="ListParagraph"/>
        <w:numPr>
          <w:ilvl w:val="0"/>
          <w:numId w:val="3"/>
        </w:numPr>
        <w:rPr>
          <w:rFonts w:eastAsia="Times New Roman"/>
          <w:color w:val="000000" w:themeColor="text1"/>
          <w:sz w:val="18"/>
          <w:szCs w:val="18"/>
        </w:rPr>
      </w:pPr>
      <w:hyperlink r:id="rId15" w:history="1">
        <w:r w:rsidR="00D95075" w:rsidRPr="00D95075">
          <w:rPr>
            <w:rStyle w:val="Hyperlink"/>
            <w:color w:val="000000" w:themeColor="text1"/>
            <w:sz w:val="18"/>
            <w:szCs w:val="18"/>
          </w:rPr>
          <w:t>Human placental IGF-I and IGF-II expression: correlating maternal and infant anthropometric variables and micronutrients at birth in the Pakistani population.</w:t>
        </w:r>
      </w:hyperlink>
      <w:r w:rsidR="00D95075" w:rsidRPr="00D95075">
        <w:rPr>
          <w:color w:val="000000" w:themeColor="text1"/>
          <w:sz w:val="18"/>
          <w:szCs w:val="18"/>
        </w:rPr>
        <w:t xml:space="preserve"> </w:t>
      </w:r>
      <w:r w:rsidR="00D95075" w:rsidRPr="00D95075">
        <w:rPr>
          <w:rStyle w:val="docsum-authors"/>
          <w:b/>
          <w:bCs/>
          <w:color w:val="000000" w:themeColor="text1"/>
          <w:sz w:val="18"/>
          <w:szCs w:val="18"/>
          <w:lang w:val="sv-SE"/>
        </w:rPr>
        <w:t>Akram SK</w:t>
      </w:r>
      <w:r w:rsidR="00D95075" w:rsidRPr="00D95075">
        <w:rPr>
          <w:rStyle w:val="docsum-authors"/>
          <w:color w:val="000000" w:themeColor="text1"/>
          <w:sz w:val="18"/>
          <w:szCs w:val="18"/>
          <w:lang w:val="sv-SE"/>
        </w:rPr>
        <w:t>, Akram M, Bhutta ZA, Soder O.</w:t>
      </w:r>
      <w:r w:rsidR="00D95075" w:rsidRPr="00D95075">
        <w:rPr>
          <w:rStyle w:val="docsum-journal-citation"/>
          <w:color w:val="000000" w:themeColor="text1"/>
          <w:sz w:val="18"/>
          <w:szCs w:val="18"/>
          <w:lang w:val="sv-SE"/>
        </w:rPr>
        <w:t xml:space="preserve">Acta Paediatr. </w:t>
      </w:r>
      <w:r w:rsidR="00D95075" w:rsidRPr="00D95075">
        <w:rPr>
          <w:rStyle w:val="docsum-journal-citation"/>
          <w:color w:val="000000" w:themeColor="text1"/>
          <w:sz w:val="18"/>
          <w:szCs w:val="18"/>
        </w:rPr>
        <w:t>2008 Oct;97(10):1443-8. doi: 10.1111/j.1651-2227.2008.00930.x. Epub 2008 Jul 10.</w:t>
      </w:r>
      <w:r w:rsidR="00D95075" w:rsidRPr="00D95075">
        <w:rPr>
          <w:rStyle w:val="citation-part"/>
          <w:color w:val="000000" w:themeColor="text1"/>
          <w:sz w:val="18"/>
          <w:szCs w:val="18"/>
        </w:rPr>
        <w:t>PMID:</w:t>
      </w:r>
      <w:r w:rsidR="00D95075" w:rsidRPr="00D95075">
        <w:rPr>
          <w:rStyle w:val="apple-converted-space"/>
          <w:color w:val="000000" w:themeColor="text1"/>
          <w:sz w:val="18"/>
          <w:szCs w:val="18"/>
        </w:rPr>
        <w:t> </w:t>
      </w:r>
      <w:r w:rsidR="00D95075" w:rsidRPr="00D95075">
        <w:rPr>
          <w:rStyle w:val="docsum-pmid"/>
          <w:color w:val="000000" w:themeColor="text1"/>
          <w:sz w:val="18"/>
          <w:szCs w:val="18"/>
        </w:rPr>
        <w:t>18624994.</w:t>
      </w:r>
    </w:p>
    <w:p w14:paraId="45F13416" w14:textId="77777777" w:rsidR="00AE3E37" w:rsidRPr="008756E6" w:rsidRDefault="00AE3E37" w:rsidP="008756E6">
      <w:pPr>
        <w:tabs>
          <w:tab w:val="left" w:pos="384"/>
        </w:tabs>
        <w:ind w:right="117"/>
      </w:pPr>
    </w:p>
    <w:p w14:paraId="516802B6"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E3CEE57" w14:textId="77777777" w:rsidR="00AE3E37" w:rsidRDefault="00AE3E37">
      <w:pPr>
        <w:pStyle w:val="BodyText"/>
        <w:rPr>
          <w:rFonts w:ascii="Calibri"/>
          <w:sz w:val="20"/>
        </w:rPr>
      </w:pPr>
    </w:p>
    <w:p w14:paraId="22903A8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F2CCCC3" wp14:editId="74B848F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E6367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12211180" w14:textId="77777777"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5CD48DA3" wp14:editId="614A98EE">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4B7F650"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CD48D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" strokecolor="#9bbb59" strokeweight="2.5pt">
                <v:shadow color="#868686"/>
                <v:textbox>
                  <w:txbxContent>
                    <w:p w14:paraId="14B7F650"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05D9BFD3" wp14:editId="0DA0C19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19A91C8A" w14:textId="5766F719" w:rsidR="00AE3E37" w:rsidRPr="00D95075" w:rsidRDefault="00D95075">
      <w:pPr>
        <w:spacing w:before="41" w:line="154" w:lineRule="exact"/>
        <w:ind w:left="213" w:right="231"/>
        <w:jc w:val="both"/>
        <w:rPr>
          <w:rFonts w:ascii="Arial"/>
          <w:sz w:val="14"/>
          <w:lang w:val="en-GB"/>
        </w:rPr>
      </w:pPr>
      <w:r w:rsidRPr="00D95075">
        <w:rPr>
          <w:rFonts w:ascii="Arial"/>
          <w:sz w:val="14"/>
          <w:lang w:val="en-GB"/>
        </w:rPr>
        <w:t xml:space="preserve">Shahzad Akram has a passion for neonatal </w:t>
      </w:r>
      <w:r>
        <w:rPr>
          <w:rFonts w:ascii="Arial"/>
          <w:sz w:val="14"/>
          <w:lang w:val="en-GB"/>
        </w:rPr>
        <w:t xml:space="preserve">and </w:t>
      </w:r>
      <w:r w:rsidRPr="00D95075">
        <w:rPr>
          <w:rFonts w:ascii="Arial"/>
          <w:sz w:val="14"/>
          <w:lang w:val="en-GB"/>
        </w:rPr>
        <w:t xml:space="preserve">paediatric ECMO and Trauma surgery and is </w:t>
      </w:r>
      <w:r>
        <w:rPr>
          <w:rFonts w:ascii="Arial"/>
          <w:sz w:val="14"/>
          <w:lang w:val="en-GB"/>
        </w:rPr>
        <w:t xml:space="preserve">a </w:t>
      </w:r>
      <w:r w:rsidRPr="00D95075">
        <w:rPr>
          <w:rFonts w:ascii="Arial"/>
          <w:sz w:val="14"/>
          <w:lang w:val="en-GB"/>
        </w:rPr>
        <w:t xml:space="preserve">specialist in both </w:t>
      </w:r>
      <w:r>
        <w:rPr>
          <w:rFonts w:ascii="Arial"/>
          <w:sz w:val="14"/>
          <w:lang w:val="en-GB"/>
        </w:rPr>
        <w:t>P</w:t>
      </w:r>
      <w:r w:rsidRPr="00D95075">
        <w:rPr>
          <w:rFonts w:ascii="Arial"/>
          <w:sz w:val="14"/>
          <w:lang w:val="en-GB"/>
        </w:rPr>
        <w:t xml:space="preserve">aediatric and </w:t>
      </w:r>
      <w:r>
        <w:rPr>
          <w:rFonts w:ascii="Arial"/>
          <w:sz w:val="14"/>
          <w:lang w:val="en-GB"/>
        </w:rPr>
        <w:t>G</w:t>
      </w:r>
      <w:r w:rsidRPr="00D95075">
        <w:rPr>
          <w:rFonts w:ascii="Arial"/>
          <w:sz w:val="14"/>
          <w:lang w:val="en-GB"/>
        </w:rPr>
        <w:t xml:space="preserve">eneral </w:t>
      </w:r>
      <w:r>
        <w:rPr>
          <w:rFonts w:ascii="Arial"/>
          <w:sz w:val="14"/>
          <w:lang w:val="en-GB"/>
        </w:rPr>
        <w:t>S</w:t>
      </w:r>
      <w:r w:rsidRPr="00D95075">
        <w:rPr>
          <w:rFonts w:ascii="Arial"/>
          <w:sz w:val="14"/>
          <w:lang w:val="en-GB"/>
        </w:rPr>
        <w:t>urgery. He works part-time at the ECMO centre</w:t>
      </w:r>
      <w:r>
        <w:rPr>
          <w:rFonts w:ascii="Arial"/>
          <w:sz w:val="14"/>
          <w:lang w:val="en-GB"/>
        </w:rPr>
        <w:t xml:space="preserve">, and part-time at the department of Emergency and Trauma Surgery, at the Karolinska University Hospital, Stockholm, Sweden. Having completed his PhD in 2011, he focused on driving clinical excellence at his departments and is now actively taken on a combined clinical and research role, working with an affiliation to the Dept. of Physiology and Pharmacology at the world-renowned Karolinska Institutet, Stockholm, Sweden. </w:t>
      </w:r>
    </w:p>
    <w:p w14:paraId="07B8A717" w14:textId="6E7444F0" w:rsidR="00AE3E37" w:rsidRDefault="00A9710C" w:rsidP="00D95075">
      <w:pPr>
        <w:spacing w:before="62" w:line="480" w:lineRule="auto"/>
        <w:ind w:left="4217" w:right="4235"/>
        <w:jc w:val="center"/>
        <w:rPr>
          <w:rFonts w:ascii="Arial"/>
          <w:sz w:val="14"/>
        </w:rPr>
      </w:pPr>
      <w:r>
        <w:rPr>
          <w:rFonts w:ascii="Arial"/>
          <w:sz w:val="14"/>
        </w:rPr>
        <w:t xml:space="preserve">Email: </w:t>
      </w:r>
      <w:hyperlink r:id="rId17" w:history="1">
        <w:r w:rsidR="00D95075" w:rsidRPr="0081213A">
          <w:rPr>
            <w:rStyle w:val="Hyperlink"/>
            <w:rFonts w:ascii="Arial"/>
            <w:sz w:val="13"/>
            <w:szCs w:val="21"/>
          </w:rPr>
          <w:t>shahzad.akram@regionstockholm.se</w:t>
        </w:r>
      </w:hyperlink>
    </w:p>
    <w:p w14:paraId="51EEBF5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B2EAF31" wp14:editId="7903CAA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96431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4F308B2F" w14:textId="77777777" w:rsidR="00AE3E37" w:rsidRDefault="00AE3E37">
      <w:pPr>
        <w:pStyle w:val="BodyText"/>
        <w:rPr>
          <w:rFonts w:ascii="Arial"/>
          <w:sz w:val="20"/>
        </w:rPr>
      </w:pPr>
    </w:p>
    <w:p w14:paraId="1E17B885" w14:textId="77777777" w:rsidR="00AE3E37" w:rsidRDefault="00AE3E37">
      <w:pPr>
        <w:pStyle w:val="BodyText"/>
        <w:spacing w:before="7"/>
        <w:rPr>
          <w:rFonts w:ascii="Arial"/>
          <w:sz w:val="29"/>
        </w:rPr>
      </w:pPr>
    </w:p>
    <w:p w14:paraId="3982D0FF" w14:textId="6C17AAB8" w:rsidR="00EA7D51" w:rsidRDefault="00A9710C" w:rsidP="000D51F5">
      <w:pPr>
        <w:spacing w:before="39"/>
        <w:ind w:left="100"/>
        <w:rPr>
          <w:rFonts w:ascii="Minion Pro"/>
          <w:b/>
          <w:sz w:val="20"/>
        </w:rPr>
      </w:pPr>
      <w:r w:rsidRPr="00B21A57">
        <w:rPr>
          <w:rFonts w:ascii="Minion Pro"/>
          <w:b/>
          <w:sz w:val="20"/>
        </w:rPr>
        <w:t>Notes/Comments:</w:t>
      </w:r>
    </w:p>
    <w:p w14:paraId="6A98990E" w14:textId="77777777" w:rsidR="00EA7D51" w:rsidRDefault="00EA7D51" w:rsidP="000534A1">
      <w:pPr>
        <w:spacing w:before="39"/>
        <w:ind w:left="100"/>
        <w:rPr>
          <w:rFonts w:ascii="Minion Pro"/>
          <w:b/>
          <w:sz w:val="20"/>
        </w:rPr>
      </w:pPr>
    </w:p>
    <w:p w14:paraId="0EA40254" w14:textId="54B6CF73" w:rsidR="00D95075" w:rsidRPr="00D95075" w:rsidRDefault="00EA7D51" w:rsidP="00D95075">
      <w:pPr>
        <w:rPr>
          <w:rFonts w:ascii="Garamond" w:hAnsi="Garamond" w:cs="Tahoma"/>
          <w:color w:val="7F7F7F"/>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95075">
        <w:rPr>
          <w:sz w:val="20"/>
          <w:szCs w:val="20"/>
          <w:lang w:val="en-NZ"/>
        </w:rPr>
        <w:t>Shahzad K. Akram, MD, PhD</w:t>
      </w:r>
      <w:r w:rsidRPr="00F35A62">
        <w:rPr>
          <w:sz w:val="20"/>
          <w:szCs w:val="20"/>
          <w:lang w:val="en-NZ"/>
        </w:rPr>
        <w:br/>
        <w:t>Contact number:</w:t>
      </w:r>
      <w:r w:rsidR="00D95075">
        <w:rPr>
          <w:sz w:val="20"/>
          <w:szCs w:val="20"/>
          <w:lang w:val="en-NZ"/>
        </w:rPr>
        <w:t xml:space="preserve"> +46 76 843 8015</w:t>
      </w:r>
      <w:r w:rsidRPr="00F35A62">
        <w:rPr>
          <w:sz w:val="20"/>
          <w:szCs w:val="20"/>
          <w:lang w:val="en-NZ"/>
        </w:rPr>
        <w:br/>
        <w:t>Linked In account:</w:t>
      </w:r>
      <w:r w:rsidR="00D95075">
        <w:rPr>
          <w:sz w:val="20"/>
          <w:szCs w:val="20"/>
          <w:lang w:val="en-NZ"/>
        </w:rPr>
        <w:t xml:space="preserve"> </w:t>
      </w:r>
      <w:hyperlink r:id="rId18" w:history="1">
        <w:r w:rsidR="00D95075" w:rsidRPr="0049564E">
          <w:rPr>
            <w:rStyle w:val="Hyperlink"/>
            <w:sz w:val="16"/>
            <w:szCs w:val="16"/>
          </w:rPr>
          <w:t>http://linkedin.com/in/shahzad-k-akram-46ba3b73</w:t>
        </w:r>
      </w:hyperlink>
    </w:p>
    <w:p w14:paraId="7B34A6CB" w14:textId="44FA0351" w:rsidR="00EA7D51" w:rsidRPr="00D95075" w:rsidRDefault="00EA7D51" w:rsidP="00EA7D51">
      <w:pPr>
        <w:autoSpaceDE w:val="0"/>
        <w:autoSpaceDN w:val="0"/>
        <w:adjustRightInd w:val="0"/>
        <w:rPr>
          <w:b/>
          <w:sz w:val="20"/>
          <w:szCs w:val="20"/>
        </w:rPr>
      </w:pPr>
    </w:p>
    <w:p w14:paraId="2DEFAB7D"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14:paraId="5E92AA0F"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3B92DE83"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A7575A" w14:textId="77777777" w:rsidR="007F1C77" w:rsidRDefault="007F1C77">
      <w:r>
        <w:separator/>
      </w:r>
    </w:p>
  </w:endnote>
  <w:endnote w:type="continuationSeparator" w:id="0">
    <w:p w14:paraId="4964E04A" w14:textId="77777777" w:rsidR="007F1C77" w:rsidRDefault="007F1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C177C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9C35A1A" wp14:editId="0664926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DAE4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72BEB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9C35A1A"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7FDDAE4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72BEB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B515607" wp14:editId="5A5E37D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8C4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5FDA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515607"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4908C4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5FDA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B91F3A5" wp14:editId="593D03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9DBD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B3B73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91F3A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4739DBD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B3B73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899B15" w14:textId="77777777" w:rsidR="007F1C77" w:rsidRDefault="007F1C77">
      <w:r>
        <w:separator/>
      </w:r>
    </w:p>
  </w:footnote>
  <w:footnote w:type="continuationSeparator" w:id="0">
    <w:p w14:paraId="27ACD581" w14:textId="77777777" w:rsidR="007F1C77" w:rsidRDefault="007F1C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E493C20"/>
    <w:multiLevelType w:val="multilevel"/>
    <w:tmpl w:val="B0E01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D51F5"/>
    <w:rsid w:val="000E2911"/>
    <w:rsid w:val="001263DF"/>
    <w:rsid w:val="002126CE"/>
    <w:rsid w:val="00292ED9"/>
    <w:rsid w:val="002A0DC7"/>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F1C77"/>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95075"/>
    <w:rsid w:val="00DE3104"/>
    <w:rsid w:val="00DE47B9"/>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5E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docsum-authors">
    <w:name w:val="docsum-authors"/>
    <w:basedOn w:val="DefaultParagraphFont"/>
    <w:rsid w:val="00D95075"/>
  </w:style>
  <w:style w:type="character" w:customStyle="1" w:styleId="apple-converted-space">
    <w:name w:val="apple-converted-space"/>
    <w:basedOn w:val="DefaultParagraphFont"/>
    <w:rsid w:val="00D95075"/>
  </w:style>
  <w:style w:type="character" w:customStyle="1" w:styleId="docsum-journal-citation">
    <w:name w:val="docsum-journal-citation"/>
    <w:basedOn w:val="DefaultParagraphFont"/>
    <w:rsid w:val="00D95075"/>
  </w:style>
  <w:style w:type="character" w:customStyle="1" w:styleId="citation-part">
    <w:name w:val="citation-part"/>
    <w:basedOn w:val="DefaultParagraphFont"/>
    <w:rsid w:val="00D95075"/>
  </w:style>
  <w:style w:type="character" w:customStyle="1" w:styleId="docsum-pmid">
    <w:name w:val="docsum-pmid"/>
    <w:basedOn w:val="DefaultParagraphFont"/>
    <w:rsid w:val="00D95075"/>
  </w:style>
  <w:style w:type="character" w:styleId="FollowedHyperlink">
    <w:name w:val="FollowedHyperlink"/>
    <w:basedOn w:val="DefaultParagraphFont"/>
    <w:uiPriority w:val="99"/>
    <w:semiHidden/>
    <w:unhideWhenUsed/>
    <w:rsid w:val="00D95075"/>
    <w:rPr>
      <w:color w:val="800080" w:themeColor="followedHyperlink"/>
      <w:u w:val="single"/>
    </w:rPr>
  </w:style>
  <w:style w:type="paragraph" w:customStyle="1" w:styleId="nova-legacy-e-listitem">
    <w:name w:val="nova-legacy-e-list__item"/>
    <w:basedOn w:val="Normal"/>
    <w:rsid w:val="00D95075"/>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D9507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docsum-authors">
    <w:name w:val="docsum-authors"/>
    <w:basedOn w:val="DefaultParagraphFont"/>
    <w:rsid w:val="00D95075"/>
  </w:style>
  <w:style w:type="character" w:customStyle="1" w:styleId="apple-converted-space">
    <w:name w:val="apple-converted-space"/>
    <w:basedOn w:val="DefaultParagraphFont"/>
    <w:rsid w:val="00D95075"/>
  </w:style>
  <w:style w:type="character" w:customStyle="1" w:styleId="docsum-journal-citation">
    <w:name w:val="docsum-journal-citation"/>
    <w:basedOn w:val="DefaultParagraphFont"/>
    <w:rsid w:val="00D95075"/>
  </w:style>
  <w:style w:type="character" w:customStyle="1" w:styleId="citation-part">
    <w:name w:val="citation-part"/>
    <w:basedOn w:val="DefaultParagraphFont"/>
    <w:rsid w:val="00D95075"/>
  </w:style>
  <w:style w:type="character" w:customStyle="1" w:styleId="docsum-pmid">
    <w:name w:val="docsum-pmid"/>
    <w:basedOn w:val="DefaultParagraphFont"/>
    <w:rsid w:val="00D95075"/>
  </w:style>
  <w:style w:type="character" w:styleId="FollowedHyperlink">
    <w:name w:val="FollowedHyperlink"/>
    <w:basedOn w:val="DefaultParagraphFont"/>
    <w:uiPriority w:val="99"/>
    <w:semiHidden/>
    <w:unhideWhenUsed/>
    <w:rsid w:val="00D95075"/>
    <w:rPr>
      <w:color w:val="800080" w:themeColor="followedHyperlink"/>
      <w:u w:val="single"/>
    </w:rPr>
  </w:style>
  <w:style w:type="paragraph" w:customStyle="1" w:styleId="nova-legacy-e-listitem">
    <w:name w:val="nova-legacy-e-list__item"/>
    <w:basedOn w:val="Normal"/>
    <w:rsid w:val="00D95075"/>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D950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31504">
      <w:bodyDiv w:val="1"/>
      <w:marLeft w:val="0"/>
      <w:marRight w:val="0"/>
      <w:marTop w:val="0"/>
      <w:marBottom w:val="0"/>
      <w:divBdr>
        <w:top w:val="none" w:sz="0" w:space="0" w:color="auto"/>
        <w:left w:val="none" w:sz="0" w:space="0" w:color="auto"/>
        <w:bottom w:val="none" w:sz="0" w:space="0" w:color="auto"/>
        <w:right w:val="none" w:sz="0" w:space="0" w:color="auto"/>
      </w:divBdr>
      <w:divsChild>
        <w:div w:id="30230320">
          <w:marLeft w:val="0"/>
          <w:marRight w:val="0"/>
          <w:marTop w:val="0"/>
          <w:marBottom w:val="0"/>
          <w:divBdr>
            <w:top w:val="none" w:sz="0" w:space="0" w:color="auto"/>
            <w:left w:val="none" w:sz="0" w:space="0" w:color="auto"/>
            <w:bottom w:val="none" w:sz="0" w:space="0" w:color="auto"/>
            <w:right w:val="none" w:sz="0" w:space="0" w:color="auto"/>
          </w:divBdr>
          <w:divsChild>
            <w:div w:id="1801611228">
              <w:marLeft w:val="0"/>
              <w:marRight w:val="0"/>
              <w:marTop w:val="0"/>
              <w:marBottom w:val="0"/>
              <w:divBdr>
                <w:top w:val="none" w:sz="0" w:space="0" w:color="auto"/>
                <w:left w:val="none" w:sz="0" w:space="0" w:color="auto"/>
                <w:bottom w:val="none" w:sz="0" w:space="0" w:color="auto"/>
                <w:right w:val="none" w:sz="0" w:space="0" w:color="auto"/>
              </w:divBdr>
              <w:divsChild>
                <w:div w:id="214022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26245">
      <w:bodyDiv w:val="1"/>
      <w:marLeft w:val="0"/>
      <w:marRight w:val="0"/>
      <w:marTop w:val="0"/>
      <w:marBottom w:val="0"/>
      <w:divBdr>
        <w:top w:val="none" w:sz="0" w:space="0" w:color="auto"/>
        <w:left w:val="none" w:sz="0" w:space="0" w:color="auto"/>
        <w:bottom w:val="none" w:sz="0" w:space="0" w:color="auto"/>
        <w:right w:val="none" w:sz="0" w:space="0" w:color="auto"/>
      </w:divBdr>
      <w:divsChild>
        <w:div w:id="1014069906">
          <w:marLeft w:val="0"/>
          <w:marRight w:val="0"/>
          <w:marTop w:val="0"/>
          <w:marBottom w:val="75"/>
          <w:divBdr>
            <w:top w:val="none" w:sz="0" w:space="0" w:color="auto"/>
            <w:left w:val="none" w:sz="0" w:space="0" w:color="auto"/>
            <w:bottom w:val="none" w:sz="0" w:space="0" w:color="auto"/>
            <w:right w:val="none" w:sz="0" w:space="0" w:color="auto"/>
          </w:divBdr>
        </w:div>
        <w:div w:id="1286085164">
          <w:marLeft w:val="0"/>
          <w:marRight w:val="0"/>
          <w:marTop w:val="0"/>
          <w:marBottom w:val="75"/>
          <w:divBdr>
            <w:top w:val="none" w:sz="0" w:space="0" w:color="auto"/>
            <w:left w:val="none" w:sz="0" w:space="0" w:color="auto"/>
            <w:bottom w:val="none" w:sz="0" w:space="0" w:color="auto"/>
            <w:right w:val="none" w:sz="0" w:space="0" w:color="auto"/>
          </w:divBdr>
        </w:div>
      </w:divsChild>
    </w:div>
    <w:div w:id="419133640">
      <w:bodyDiv w:val="1"/>
      <w:marLeft w:val="0"/>
      <w:marRight w:val="0"/>
      <w:marTop w:val="0"/>
      <w:marBottom w:val="0"/>
      <w:divBdr>
        <w:top w:val="none" w:sz="0" w:space="0" w:color="auto"/>
        <w:left w:val="none" w:sz="0" w:space="0" w:color="auto"/>
        <w:bottom w:val="none" w:sz="0" w:space="0" w:color="auto"/>
        <w:right w:val="none" w:sz="0" w:space="0" w:color="auto"/>
      </w:divBdr>
      <w:divsChild>
        <w:div w:id="2144879875">
          <w:marLeft w:val="0"/>
          <w:marRight w:val="0"/>
          <w:marTop w:val="0"/>
          <w:marBottom w:val="0"/>
          <w:divBdr>
            <w:top w:val="none" w:sz="0" w:space="0" w:color="auto"/>
            <w:left w:val="none" w:sz="0" w:space="0" w:color="auto"/>
            <w:bottom w:val="none" w:sz="0" w:space="0" w:color="auto"/>
            <w:right w:val="none" w:sz="0" w:space="0" w:color="auto"/>
          </w:divBdr>
          <w:divsChild>
            <w:div w:id="140512213">
              <w:marLeft w:val="0"/>
              <w:marRight w:val="0"/>
              <w:marTop w:val="0"/>
              <w:marBottom w:val="0"/>
              <w:divBdr>
                <w:top w:val="none" w:sz="0" w:space="0" w:color="auto"/>
                <w:left w:val="none" w:sz="0" w:space="0" w:color="auto"/>
                <w:bottom w:val="none" w:sz="0" w:space="0" w:color="auto"/>
                <w:right w:val="none" w:sz="0" w:space="0" w:color="auto"/>
              </w:divBdr>
              <w:divsChild>
                <w:div w:id="131060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36146022">
      <w:bodyDiv w:val="1"/>
      <w:marLeft w:val="0"/>
      <w:marRight w:val="0"/>
      <w:marTop w:val="0"/>
      <w:marBottom w:val="0"/>
      <w:divBdr>
        <w:top w:val="none" w:sz="0" w:space="0" w:color="auto"/>
        <w:left w:val="none" w:sz="0" w:space="0" w:color="auto"/>
        <w:bottom w:val="none" w:sz="0" w:space="0" w:color="auto"/>
        <w:right w:val="none" w:sz="0" w:space="0" w:color="auto"/>
      </w:divBdr>
      <w:divsChild>
        <w:div w:id="2055037071">
          <w:marLeft w:val="0"/>
          <w:marRight w:val="0"/>
          <w:marTop w:val="0"/>
          <w:marBottom w:val="0"/>
          <w:divBdr>
            <w:top w:val="none" w:sz="0" w:space="0" w:color="auto"/>
            <w:left w:val="none" w:sz="0" w:space="0" w:color="auto"/>
            <w:bottom w:val="none" w:sz="0" w:space="0" w:color="auto"/>
            <w:right w:val="none" w:sz="0" w:space="0" w:color="auto"/>
          </w:divBdr>
        </w:div>
      </w:divsChild>
    </w:div>
    <w:div w:id="2133555577">
      <w:bodyDiv w:val="1"/>
      <w:marLeft w:val="0"/>
      <w:marRight w:val="0"/>
      <w:marTop w:val="0"/>
      <w:marBottom w:val="0"/>
      <w:divBdr>
        <w:top w:val="none" w:sz="0" w:space="0" w:color="auto"/>
        <w:left w:val="none" w:sz="0" w:space="0" w:color="auto"/>
        <w:bottom w:val="none" w:sz="0" w:space="0" w:color="auto"/>
        <w:right w:val="none" w:sz="0" w:space="0" w:color="auto"/>
      </w:divBdr>
      <w:divsChild>
        <w:div w:id="166488904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ubmed.ncbi.nlm.nih.gov/21539604/" TargetMode="External"/><Relationship Id="rId18" Type="http://schemas.openxmlformats.org/officeDocument/2006/relationships/hyperlink" Target="http://linkedin.com/in/shahzad-k-akram-46ba3b7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x.doi.org/10.6000/1929-4247.2014.03.02.5" TargetMode="External"/><Relationship Id="rId17" Type="http://schemas.openxmlformats.org/officeDocument/2006/relationships/hyperlink" Target="mailto:shahzad.akram@regionstockholm.se" TargetMode="Externa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esearchgate.net/publication/journal/International-Journal-of-Child-Health-and-Nutrition-1929-4247" TargetMode="External"/><Relationship Id="rId5" Type="http://schemas.openxmlformats.org/officeDocument/2006/relationships/webSettings" Target="webSettings.xml"/><Relationship Id="rId15" Type="http://schemas.openxmlformats.org/officeDocument/2006/relationships/hyperlink" Target="https://pubmed.ncbi.nlm.nih.gov/18624994/" TargetMode="External"/><Relationship Id="rId10" Type="http://schemas.openxmlformats.org/officeDocument/2006/relationships/hyperlink" Target="https://pubmed.ncbi.nlm.nih.gov/3650361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ciencedirect.com/topics/medicine-and-dentistry/cohort-analysis" TargetMode="External"/><Relationship Id="rId14" Type="http://schemas.openxmlformats.org/officeDocument/2006/relationships/hyperlink" Target="https://pubmed.ncbi.nlm.nih.gov/209625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Anukriti Srivastava</cp:lastModifiedBy>
  <cp:revision>2</cp:revision>
  <dcterms:created xsi:type="dcterms:W3CDTF">2023-02-03T05:46:00Z</dcterms:created>
  <dcterms:modified xsi:type="dcterms:W3CDTF">2023-02-03T05:46:00Z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