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489" w:rsidRDefault="00E10489" w:rsidP="00E10489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10489">
        <w:rPr>
          <w:rFonts w:ascii="Times New Roman" w:hAnsi="Times New Roman" w:cs="Times New Roman"/>
          <w:b/>
          <w:sz w:val="32"/>
          <w:szCs w:val="32"/>
        </w:rPr>
        <w:t xml:space="preserve">Synthesis of new </w:t>
      </w:r>
      <w:proofErr w:type="spellStart"/>
      <w:r w:rsidRPr="00E10489">
        <w:rPr>
          <w:rFonts w:ascii="Times New Roman" w:hAnsi="Times New Roman" w:cs="Times New Roman"/>
          <w:b/>
          <w:sz w:val="32"/>
          <w:szCs w:val="32"/>
        </w:rPr>
        <w:t>amio</w:t>
      </w:r>
      <w:proofErr w:type="spellEnd"/>
      <w:r w:rsidRPr="00E10489">
        <w:rPr>
          <w:rFonts w:ascii="Times New Roman" w:hAnsi="Times New Roman" w:cs="Times New Roman"/>
          <w:b/>
          <w:sz w:val="32"/>
          <w:szCs w:val="32"/>
        </w:rPr>
        <w:t xml:space="preserve">-ethyl-rhodamine </w:t>
      </w:r>
      <w:r>
        <w:rPr>
          <w:rFonts w:ascii="Times New Roman" w:hAnsi="Times New Roman" w:cs="Times New Roman"/>
          <w:b/>
          <w:sz w:val="32"/>
          <w:szCs w:val="32"/>
        </w:rPr>
        <w:t xml:space="preserve">derivatives and its anti-cancer </w:t>
      </w:r>
      <w:r w:rsidRPr="00E10489">
        <w:rPr>
          <w:rFonts w:ascii="Times New Roman" w:hAnsi="Times New Roman" w:cs="Times New Roman"/>
          <w:b/>
          <w:sz w:val="32"/>
          <w:szCs w:val="32"/>
        </w:rPr>
        <w:t>potential against MCF-7 human breast cancer cell line</w:t>
      </w:r>
    </w:p>
    <w:p w:rsidR="00E10489" w:rsidRPr="00E10489" w:rsidRDefault="00E10489" w:rsidP="00E10489">
      <w:pPr>
        <w:rPr>
          <w:rFonts w:ascii="Times New Roman" w:hAnsi="Times New Roman" w:cs="Times New Roman"/>
          <w:sz w:val="24"/>
          <w:szCs w:val="24"/>
        </w:rPr>
      </w:pPr>
      <w:r w:rsidRPr="00E10489">
        <w:rPr>
          <w:rFonts w:ascii="Times New Roman" w:hAnsi="Times New Roman" w:cs="Times New Roman"/>
          <w:sz w:val="24"/>
          <w:szCs w:val="24"/>
        </w:rPr>
        <w:t xml:space="preserve">Padma </w:t>
      </w:r>
      <w:proofErr w:type="spellStart"/>
      <w:r w:rsidRPr="00E10489">
        <w:rPr>
          <w:rFonts w:ascii="Times New Roman" w:hAnsi="Times New Roman" w:cs="Times New Roman"/>
          <w:sz w:val="24"/>
          <w:szCs w:val="24"/>
        </w:rPr>
        <w:t>Charan</w:t>
      </w:r>
      <w:proofErr w:type="spellEnd"/>
      <w:r w:rsidRPr="00E10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0489">
        <w:rPr>
          <w:rFonts w:ascii="Times New Roman" w:hAnsi="Times New Roman" w:cs="Times New Roman"/>
          <w:sz w:val="24"/>
          <w:szCs w:val="24"/>
        </w:rPr>
        <w:t>Behera</w:t>
      </w:r>
      <w:proofErr w:type="spellEnd"/>
    </w:p>
    <w:p w:rsidR="00E10489" w:rsidRDefault="00E10489" w:rsidP="00E10489">
      <w:pPr>
        <w:rPr>
          <w:rFonts w:ascii="Times New Roman" w:hAnsi="Times New Roman" w:cs="Times New Roman"/>
        </w:rPr>
      </w:pPr>
      <w:r w:rsidRPr="00E10489">
        <w:rPr>
          <w:rFonts w:ascii="Times New Roman" w:hAnsi="Times New Roman" w:cs="Times New Roman"/>
        </w:rPr>
        <w:t>Department of Pharmaceutical Sciences</w:t>
      </w:r>
    </w:p>
    <w:p w:rsidR="00E10489" w:rsidRDefault="00E10489" w:rsidP="00E10489">
      <w:pPr>
        <w:rPr>
          <w:rFonts w:ascii="Times New Roman" w:hAnsi="Times New Roman" w:cs="Times New Roman"/>
          <w:b/>
          <w:sz w:val="24"/>
          <w:szCs w:val="24"/>
        </w:rPr>
      </w:pPr>
      <w:r w:rsidRPr="00E10489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10489">
        <w:rPr>
          <w:rFonts w:ascii="Times New Roman" w:hAnsi="Times New Roman" w:cs="Times New Roman"/>
          <w:b/>
          <w:sz w:val="20"/>
          <w:szCs w:val="20"/>
          <w:u w:val="single"/>
        </w:rPr>
        <w:t>Statement of Problem: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E10489">
        <w:rPr>
          <w:rFonts w:ascii="Times New Roman" w:hAnsi="Times New Roman" w:cs="Times New Roman"/>
          <w:sz w:val="20"/>
          <w:szCs w:val="20"/>
        </w:rPr>
        <w:t>Breast cancer is the most prevalent diagnosed cancer among women and the main cause of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morbidity and mortality. As for breast cancer, MCF-7 cells are an important candidate since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 xml:space="preserve">they are widely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utilised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in research for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oestrogen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receptor (ER)-positive breast cancer cell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assays, and various sub-clones have been identified to reflect different classes of ER-positive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tumours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with varied levels of nuclear receptor expression. Rhodamines and its </w:t>
      </w:r>
      <w:proofErr w:type="spellStart"/>
      <w:proofErr w:type="gramStart"/>
      <w:r w:rsidRPr="00E10489">
        <w:rPr>
          <w:rFonts w:ascii="Times New Roman" w:hAnsi="Times New Roman" w:cs="Times New Roman"/>
          <w:sz w:val="20"/>
          <w:szCs w:val="20"/>
        </w:rPr>
        <w:t>derivativeshave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shown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 a great interest over the past two decades due to their excellent structural and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spectroscopic properties. Rhodamine derivatives have been widely investigated for their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mitochondrial targeting and chemotherapeutic properties. Rhodamine derivatives, in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particular, have been widely investigated for their therapeutic properties. In this regard,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several studies have shown that Rhodamines have promising in vitro and in vivo therapeutic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efficacy. The present study deals with the synthesis and characterization of amino-ethyl-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rhodamine compounds, B-3, B-11, BB-59 and its potential anticancer activity against MCF-7cell lines.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10489">
        <w:rPr>
          <w:rFonts w:ascii="Times New Roman" w:hAnsi="Times New Roman" w:cs="Times New Roman"/>
          <w:b/>
          <w:sz w:val="20"/>
          <w:szCs w:val="20"/>
          <w:u w:val="single"/>
        </w:rPr>
        <w:t>Methodology: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10489">
        <w:rPr>
          <w:rFonts w:ascii="Times New Roman" w:hAnsi="Times New Roman" w:cs="Times New Roman"/>
          <w:sz w:val="20"/>
          <w:szCs w:val="20"/>
        </w:rPr>
        <w:t>in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 three different formats. They are the lethal concentration (LC50), the growth inhibition factor (GI50), and overall growth inhibition (TGI). The LC50 value is the drug concentration that causes 50% cell death. The GI50 value is the drug concentration that inhibits cell growth by 50%. The TGI value is the drug concentration that causes complete cell growth inhibition. The reagent grade chemicals without purification were utilized synthesis.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Bis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>-(2-chloroethyl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)-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 ammonium chloride, 7-chloro-4-nitrobenz-2-oxa-1,3-diazole (7-chloro-4-nitrobenzofurazan), rhodamine-B hydrochloride,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ethylenediamine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>, and the metal-perchlorate salts were procured from Aldrich (U.S.) and utilized as obtained. Anhydrous potassium carbonate, acids, buffers and the solvents were obtained from S. D. Fine Chemicals (India).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b/>
          <w:sz w:val="20"/>
          <w:szCs w:val="20"/>
          <w:u w:val="single"/>
        </w:rPr>
        <w:t>Finding: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E10489">
        <w:rPr>
          <w:rFonts w:ascii="Times New Roman" w:hAnsi="Times New Roman" w:cs="Times New Roman"/>
          <w:sz w:val="20"/>
          <w:szCs w:val="20"/>
        </w:rPr>
        <w:t xml:space="preserve">The standard protocol for anticancer activity testing uses Adriamycin (ADR) as a reference standard. The aim of this study was to evaluate our synthesized compounds – BA-1, BA-3, BA-8, BA-7, BA-11, BB-57, BB-59, BB-105 and B-12 with the positive control ADR drug for their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antiproliferative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properties in vitro against MCF-7 cell lines of human cancer. The test substances&amp;#39; cytotoxic effects were assessed using MCF-7 human cancer cell lines. Table 1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summarises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the LC50, TGI, and GI50 values obtained for each drug. Test wells were compared to control wells on a plate by plate basis to determine percent increase. Percent growth was calculated as the ratio of the test well&amp;#39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;s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 average absorbance to the control wells&amp;#39; average absorbance multiplied by 100. % Growth = (Average absorbance of test / Average absorbance of control) × 100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The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 cytotoxicity test findings are presented.</w:t>
      </w:r>
    </w:p>
    <w:p w:rsidR="00E10489" w:rsidRDefault="00E10489" w:rsidP="00E10489">
      <w:pPr>
        <w:rPr>
          <w:rFonts w:ascii="Times New Roman" w:hAnsi="Times New Roman" w:cs="Times New Roman"/>
          <w:b/>
          <w:sz w:val="24"/>
          <w:szCs w:val="24"/>
        </w:rPr>
      </w:pPr>
    </w:p>
    <w:p w:rsidR="00E10489" w:rsidRDefault="00E10489" w:rsidP="00E10489">
      <w:pPr>
        <w:rPr>
          <w:rFonts w:ascii="Times New Roman" w:hAnsi="Times New Roman" w:cs="Times New Roman"/>
          <w:b/>
          <w:sz w:val="24"/>
          <w:szCs w:val="24"/>
        </w:rPr>
      </w:pPr>
      <w:r w:rsidRPr="00E1048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E10489">
        <w:rPr>
          <w:rFonts w:ascii="Times New Roman" w:hAnsi="Times New Roman" w:cs="Times New Roman"/>
          <w:sz w:val="20"/>
          <w:szCs w:val="20"/>
        </w:rPr>
        <w:t xml:space="preserve">Padma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Charan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Behera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1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* ,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Varnita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karmakar 2 , Arya Ghosh 1 ,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Suddhasatya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Dey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3 , Naresh Kumar</w:t>
      </w:r>
    </w:p>
    <w:p w:rsid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10489">
        <w:rPr>
          <w:rFonts w:ascii="Times New Roman" w:hAnsi="Times New Roman" w:cs="Times New Roman"/>
          <w:sz w:val="20"/>
          <w:szCs w:val="20"/>
        </w:rPr>
        <w:lastRenderedPageBreak/>
        <w:t>Rangra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4 ,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Bamaprasad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Bag 5*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 xml:space="preserve"> Department of Pharmaceutical Sciences, Jharkhand Rai Univarsity,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Ratu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road, Ranchi-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835222, Jharkhand, India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E10489">
        <w:rPr>
          <w:rFonts w:ascii="Times New Roman" w:hAnsi="Times New Roman" w:cs="Times New Roman"/>
          <w:sz w:val="20"/>
          <w:szCs w:val="20"/>
        </w:rPr>
        <w:t>Department of Pharmacology, Eminent College of Pharmaceutical Technology, Barasat-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700126, West Bengal, India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E10489">
        <w:rPr>
          <w:rFonts w:ascii="Times New Roman" w:hAnsi="Times New Roman" w:cs="Times New Roman"/>
          <w:sz w:val="20"/>
          <w:szCs w:val="20"/>
        </w:rPr>
        <w:t>Department of Pharmacy, Sanaka Educational Trusts group of Institutions, Durgapur-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713212, West Bengal, India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E10489">
        <w:rPr>
          <w:rFonts w:ascii="Times New Roman" w:hAnsi="Times New Roman" w:cs="Times New Roman"/>
          <w:sz w:val="20"/>
          <w:szCs w:val="20"/>
        </w:rPr>
        <w:t xml:space="preserve">Department of pharmaceutical chemistry, ISF College of pharmacy, GT Road,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Ghal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>-Kalan,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Moga-142001, Punjab, India</w:t>
      </w:r>
    </w:p>
    <w:p w:rsid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E10489">
        <w:rPr>
          <w:rFonts w:ascii="Times New Roman" w:hAnsi="Times New Roman" w:cs="Times New Roman"/>
          <w:sz w:val="20"/>
          <w:szCs w:val="20"/>
        </w:rPr>
        <w:t>CSIR- Institute of Minerals and Materials Technology (Formerly Regional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Research Laboratory) Council of Scientific &amp;amp; Industrial Research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Bhubaneswar - 751 013, Odisha, India</w:t>
      </w:r>
    </w:p>
    <w:p w:rsid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10489" w:rsidRDefault="00E10489" w:rsidP="00E104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489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E10489">
        <w:rPr>
          <w:rFonts w:ascii="Times New Roman" w:hAnsi="Times New Roman" w:cs="Times New Roman"/>
          <w:sz w:val="20"/>
          <w:szCs w:val="20"/>
        </w:rPr>
        <w:t xml:space="preserve">Semina SE, Pal P, Kansara NS, et al. Selective pressure of </w:t>
      </w:r>
      <w:r w:rsidRPr="00E10489">
        <w:rPr>
          <w:rFonts w:ascii="Times New Roman" w:hAnsi="Times New Roman" w:cs="Times New Roman"/>
          <w:sz w:val="20"/>
          <w:szCs w:val="20"/>
        </w:rPr>
        <w:t>endocrine therapy activates the</w:t>
      </w:r>
      <w:r w:rsidRPr="00E10489">
        <w:rPr>
          <w:rFonts w:ascii="Times New Roman" w:hAnsi="Times New Roman" w:cs="Times New Roman"/>
          <w:sz w:val="20"/>
          <w:szCs w:val="20"/>
        </w:rPr>
        <w:t>integrated stress response through NFκB signaling in a subp</w:t>
      </w:r>
      <w:r w:rsidRPr="00E10489">
        <w:rPr>
          <w:rFonts w:ascii="Times New Roman" w:hAnsi="Times New Roman" w:cs="Times New Roman"/>
          <w:sz w:val="20"/>
          <w:szCs w:val="20"/>
        </w:rPr>
        <w:t xml:space="preserve">opulation of ER positive breast </w:t>
      </w:r>
      <w:r w:rsidRPr="00E10489">
        <w:rPr>
          <w:rFonts w:ascii="Times New Roman" w:hAnsi="Times New Roman" w:cs="Times New Roman"/>
          <w:sz w:val="20"/>
          <w:szCs w:val="20"/>
        </w:rPr>
        <w:t xml:space="preserve">cancer cells. </w:t>
      </w:r>
      <w:r w:rsidRPr="00E10489">
        <w:rPr>
          <w:rFonts w:ascii="Times New Roman" w:hAnsi="Times New Roman" w:cs="Times New Roman"/>
          <w:sz w:val="20"/>
          <w:szCs w:val="20"/>
        </w:rPr>
        <w:t xml:space="preserve">Breast Cancer Res. 2022; 19:24. </w:t>
      </w:r>
      <w:r w:rsidRPr="00E10489">
        <w:rPr>
          <w:rFonts w:ascii="Times New Roman" w:hAnsi="Times New Roman" w:cs="Times New Roman"/>
          <w:sz w:val="20"/>
          <w:szCs w:val="20"/>
        </w:rPr>
        <w:t xml:space="preserve"> Rueda OM, Sammut SJ, Seoane JA, et al. Dynamics of bre</w:t>
      </w:r>
      <w:r w:rsidRPr="00E10489">
        <w:rPr>
          <w:rFonts w:ascii="Times New Roman" w:hAnsi="Times New Roman" w:cs="Times New Roman"/>
          <w:sz w:val="20"/>
          <w:szCs w:val="20"/>
        </w:rPr>
        <w:t xml:space="preserve">ast-cancer relapse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reveal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 late- </w:t>
      </w:r>
      <w:r w:rsidRPr="00E10489">
        <w:rPr>
          <w:rFonts w:ascii="Times New Roman" w:hAnsi="Times New Roman" w:cs="Times New Roman"/>
          <w:sz w:val="20"/>
          <w:szCs w:val="20"/>
        </w:rPr>
        <w:t xml:space="preserve">recurring ER-positive genomic subgroups.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Natu</w:t>
      </w:r>
      <w:r w:rsidRPr="00E10489">
        <w:rPr>
          <w:rFonts w:ascii="Times New Roman" w:hAnsi="Times New Roman" w:cs="Times New Roman"/>
          <w:sz w:val="20"/>
          <w:szCs w:val="20"/>
        </w:rPr>
        <w:t>re.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 2019; 567(7748):399–404. </w:t>
      </w:r>
      <w:r w:rsidRPr="00E10489">
        <w:rPr>
          <w:rFonts w:ascii="Times New Roman" w:hAnsi="Times New Roman" w:cs="Times New Roman"/>
          <w:sz w:val="20"/>
          <w:szCs w:val="20"/>
        </w:rPr>
        <w:t xml:space="preserve"> Garcia-Martinez L, Zhang Y, Nakata Y, Chan HL, Mo</w:t>
      </w:r>
      <w:r w:rsidRPr="00E10489">
        <w:rPr>
          <w:rFonts w:ascii="Times New Roman" w:hAnsi="Times New Roman" w:cs="Times New Roman"/>
          <w:sz w:val="20"/>
          <w:szCs w:val="20"/>
        </w:rPr>
        <w:t xml:space="preserve">rey L. Epigenetic mechanisms in </w:t>
      </w:r>
      <w:r w:rsidRPr="00E10489">
        <w:rPr>
          <w:rFonts w:ascii="Times New Roman" w:hAnsi="Times New Roman" w:cs="Times New Roman"/>
          <w:sz w:val="20"/>
          <w:szCs w:val="20"/>
        </w:rPr>
        <w:t>breast cancer therapy and resistance</w:t>
      </w:r>
      <w:r w:rsidRPr="00E10489">
        <w:rPr>
          <w:rFonts w:ascii="Times New Roman" w:hAnsi="Times New Roman" w:cs="Times New Roman"/>
          <w:sz w:val="20"/>
          <w:szCs w:val="20"/>
        </w:rPr>
        <w:t xml:space="preserve">. Nat Commun. 2021; 12(1):1786. </w:t>
      </w:r>
      <w:r w:rsidRPr="00E10489">
        <w:rPr>
          <w:rFonts w:ascii="Times New Roman" w:hAnsi="Times New Roman" w:cs="Times New Roman"/>
          <w:sz w:val="20"/>
          <w:szCs w:val="20"/>
        </w:rPr>
        <w:t xml:space="preserve"> Hathaway HJ, Butler K S, Adolphi NL, et al. Detection of breast cancer</w:t>
      </w:r>
      <w:r w:rsidRPr="00E10489">
        <w:rPr>
          <w:rFonts w:ascii="Times New Roman" w:hAnsi="Times New Roman" w:cs="Times New Roman"/>
          <w:sz w:val="20"/>
          <w:szCs w:val="20"/>
        </w:rPr>
        <w:t xml:space="preserve"> cells using</w:t>
      </w:r>
      <w:r w:rsidRPr="00E10489">
        <w:rPr>
          <w:rFonts w:ascii="Times New Roman" w:hAnsi="Times New Roman" w:cs="Times New Roman"/>
          <w:sz w:val="20"/>
          <w:szCs w:val="20"/>
        </w:rPr>
        <w:t>targeted magnetic nanoparticles and ultra-sensitive magnet</w:t>
      </w:r>
      <w:r w:rsidRPr="00E10489">
        <w:rPr>
          <w:rFonts w:ascii="Times New Roman" w:hAnsi="Times New Roman" w:cs="Times New Roman"/>
          <w:sz w:val="20"/>
          <w:szCs w:val="20"/>
        </w:rPr>
        <w:t>ic field sensors. Breast Cancer Res. 2011; R108:13.</w:t>
      </w:r>
      <w:r w:rsidRPr="00E10489">
        <w:rPr>
          <w:rFonts w:ascii="Times New Roman" w:hAnsi="Times New Roman" w:cs="Times New Roman"/>
          <w:sz w:val="20"/>
          <w:szCs w:val="20"/>
        </w:rPr>
        <w:t xml:space="preserve"> Li X, Yin Y, Du B, et al. The synthesis and ev</w:t>
      </w:r>
      <w:r w:rsidRPr="00E10489">
        <w:rPr>
          <w:rFonts w:ascii="Times New Roman" w:hAnsi="Times New Roman" w:cs="Times New Roman"/>
          <w:sz w:val="20"/>
          <w:szCs w:val="20"/>
        </w:rPr>
        <w:t xml:space="preserve">aluations of the 68Ga-Lissamine </w:t>
      </w:r>
      <w:r w:rsidRPr="00E10489">
        <w:rPr>
          <w:rFonts w:ascii="Times New Roman" w:hAnsi="Times New Roman" w:cs="Times New Roman"/>
          <w:sz w:val="20"/>
          <w:szCs w:val="20"/>
        </w:rPr>
        <w:t xml:space="preserve">Rhodamine B (LRB) as a new radiotracer for imaging </w:t>
      </w:r>
      <w:r w:rsidRPr="00E10489">
        <w:rPr>
          <w:rFonts w:ascii="Times New Roman" w:hAnsi="Times New Roman" w:cs="Times New Roman"/>
          <w:sz w:val="20"/>
          <w:szCs w:val="20"/>
        </w:rPr>
        <w:t xml:space="preserve">tumors by positron emission </w:t>
      </w:r>
      <w:r w:rsidRPr="00E10489">
        <w:rPr>
          <w:rFonts w:ascii="Times New Roman" w:hAnsi="Times New Roman" w:cs="Times New Roman"/>
          <w:sz w:val="20"/>
          <w:szCs w:val="20"/>
        </w:rPr>
        <w:t>tomography</w:t>
      </w:r>
      <w:r w:rsidRPr="00E10489">
        <w:rPr>
          <w:rFonts w:ascii="Times New Roman" w:hAnsi="Times New Roman" w:cs="Times New Roman"/>
          <w:sz w:val="20"/>
          <w:szCs w:val="20"/>
        </w:rPr>
        <w:t>. Biomed Res Int. 2016:8549635.</w:t>
      </w:r>
      <w:r w:rsidRPr="00E10489">
        <w:rPr>
          <w:rFonts w:ascii="Times New Roman" w:hAnsi="Times New Roman" w:cs="Times New Roman"/>
          <w:sz w:val="20"/>
          <w:szCs w:val="20"/>
        </w:rPr>
        <w:t xml:space="preserve"> Battula H, Bommi S, Bobde Y, et al. Distinct rhodamin</w:t>
      </w:r>
      <w:r w:rsidRPr="00E10489">
        <w:rPr>
          <w:rFonts w:ascii="Times New Roman" w:hAnsi="Times New Roman" w:cs="Times New Roman"/>
          <w:sz w:val="20"/>
          <w:szCs w:val="20"/>
        </w:rPr>
        <w:t xml:space="preserve">e B derivatives exhibiting dual </w:t>
      </w:r>
      <w:r w:rsidRPr="00E10489">
        <w:rPr>
          <w:rFonts w:ascii="Times New Roman" w:hAnsi="Times New Roman" w:cs="Times New Roman"/>
          <w:sz w:val="20"/>
          <w:szCs w:val="20"/>
        </w:rPr>
        <w:t>effect of anticancer activity and fluorescence prope</w:t>
      </w:r>
      <w:r w:rsidRPr="00E10489">
        <w:rPr>
          <w:rFonts w:ascii="Times New Roman" w:hAnsi="Times New Roman" w:cs="Times New Roman"/>
          <w:sz w:val="20"/>
          <w:szCs w:val="20"/>
        </w:rPr>
        <w:t xml:space="preserve">rty. Photochem photobiol. 2021; 6:100026. </w:t>
      </w:r>
      <w:r w:rsidRPr="00E10489">
        <w:rPr>
          <w:rFonts w:ascii="Times New Roman" w:hAnsi="Times New Roman" w:cs="Times New Roman"/>
          <w:sz w:val="20"/>
          <w:szCs w:val="20"/>
        </w:rPr>
        <w:t>Oza G, Ravichandran M, Jagadale P, et al. Inorganic nanofl</w:t>
      </w:r>
      <w:r w:rsidRPr="00E10489">
        <w:rPr>
          <w:rFonts w:ascii="Times New Roman" w:hAnsi="Times New Roman" w:cs="Times New Roman"/>
          <w:sz w:val="20"/>
          <w:szCs w:val="20"/>
        </w:rPr>
        <w:t xml:space="preserve">otillas as engineered particles </w:t>
      </w:r>
      <w:r w:rsidRPr="00E10489">
        <w:rPr>
          <w:rFonts w:ascii="Times New Roman" w:hAnsi="Times New Roman" w:cs="Times New Roman"/>
          <w:sz w:val="20"/>
          <w:szCs w:val="20"/>
        </w:rPr>
        <w:t>for drug and gene delivery. Engineering of Nan</w:t>
      </w:r>
      <w:r w:rsidRPr="00E10489">
        <w:rPr>
          <w:rFonts w:ascii="Times New Roman" w:hAnsi="Times New Roman" w:cs="Times New Roman"/>
          <w:sz w:val="20"/>
          <w:szCs w:val="20"/>
        </w:rPr>
        <w:t>obiomaterials. 2016; 2:429–483.</w:t>
      </w:r>
      <w:r w:rsidRPr="00E10489">
        <w:rPr>
          <w:rFonts w:ascii="Times New Roman" w:hAnsi="Times New Roman" w:cs="Times New Roman"/>
          <w:sz w:val="20"/>
          <w:szCs w:val="20"/>
        </w:rPr>
        <w:t xml:space="preserve"> Toogood SH, Scrutton SN. Thermal, electrochemi</w:t>
      </w:r>
      <w:r w:rsidRPr="00E10489">
        <w:rPr>
          <w:rFonts w:ascii="Times New Roman" w:hAnsi="Times New Roman" w:cs="Times New Roman"/>
          <w:sz w:val="20"/>
          <w:szCs w:val="20"/>
        </w:rPr>
        <w:t xml:space="preserve">cal and photochemical reactions </w:t>
      </w:r>
      <w:r w:rsidRPr="00E10489">
        <w:rPr>
          <w:rFonts w:ascii="Times New Roman" w:hAnsi="Times New Roman" w:cs="Times New Roman"/>
          <w:sz w:val="20"/>
          <w:szCs w:val="20"/>
        </w:rPr>
        <w:t xml:space="preserve">involving catalytically versatile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ene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 reductase enzymes.</w:t>
      </w:r>
      <w:r w:rsidRPr="00E10489">
        <w:rPr>
          <w:rFonts w:ascii="Times New Roman" w:hAnsi="Times New Roman" w:cs="Times New Roman"/>
          <w:sz w:val="20"/>
          <w:szCs w:val="20"/>
        </w:rPr>
        <w:t xml:space="preserve"> The Enzymes. 2020; 47:491-515.</w:t>
      </w:r>
      <w:r w:rsidRPr="00E10489">
        <w:rPr>
          <w:rFonts w:ascii="Times New Roman" w:hAnsi="Times New Roman" w:cs="Times New Roman"/>
          <w:sz w:val="20"/>
          <w:szCs w:val="20"/>
        </w:rPr>
        <w:t xml:space="preserve"> Biswal B, Bag B. Preferences of rhodamine coupled</w:t>
      </w:r>
      <w:r w:rsidRPr="00E10489">
        <w:rPr>
          <w:rFonts w:ascii="Times New Roman" w:hAnsi="Times New Roman" w:cs="Times New Roman"/>
          <w:sz w:val="20"/>
          <w:szCs w:val="20"/>
        </w:rPr>
        <w:t xml:space="preserve"> (aminoalkyl)-piperazine probes </w:t>
      </w:r>
      <w:r w:rsidRPr="00E10489">
        <w:rPr>
          <w:rFonts w:ascii="Times New Roman" w:hAnsi="Times New Roman" w:cs="Times New Roman"/>
          <w:sz w:val="20"/>
          <w:szCs w:val="20"/>
        </w:rPr>
        <w:t xml:space="preserve">towards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Hg(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II) ion and their FRET mediated signaling. </w:t>
      </w:r>
      <w:r w:rsidRPr="00E10489">
        <w:rPr>
          <w:rFonts w:ascii="Times New Roman" w:hAnsi="Times New Roman" w:cs="Times New Roman"/>
          <w:sz w:val="20"/>
          <w:szCs w:val="20"/>
        </w:rPr>
        <w:t xml:space="preserve">Org biomol chem. 2013; 11:4975- </w:t>
      </w:r>
      <w:r w:rsidRPr="00E10489">
        <w:rPr>
          <w:rFonts w:ascii="Times New Roman" w:hAnsi="Times New Roman" w:cs="Times New Roman"/>
          <w:sz w:val="20"/>
          <w:szCs w:val="20"/>
        </w:rPr>
        <w:t>49</w:t>
      </w:r>
      <w:r w:rsidRPr="00E10489">
        <w:rPr>
          <w:rFonts w:ascii="Times New Roman" w:hAnsi="Times New Roman" w:cs="Times New Roman"/>
          <w:sz w:val="20"/>
          <w:szCs w:val="20"/>
        </w:rPr>
        <w:t xml:space="preserve">92. </w:t>
      </w:r>
      <w:r w:rsidRPr="00E10489">
        <w:rPr>
          <w:rFonts w:ascii="Times New Roman" w:hAnsi="Times New Roman" w:cs="Times New Roman"/>
          <w:sz w:val="20"/>
          <w:szCs w:val="20"/>
        </w:rPr>
        <w:t>Bag B, Pal A. Rhodamine-based probes for metal ion-i</w:t>
      </w:r>
      <w:r w:rsidRPr="00E10489">
        <w:rPr>
          <w:rFonts w:ascii="Times New Roman" w:hAnsi="Times New Roman" w:cs="Times New Roman"/>
          <w:sz w:val="20"/>
          <w:szCs w:val="20"/>
        </w:rPr>
        <w:t xml:space="preserve">nduced chromo-/fluorogenic dual </w:t>
      </w:r>
      <w:r w:rsidRPr="00E10489">
        <w:rPr>
          <w:rFonts w:ascii="Times New Roman" w:hAnsi="Times New Roman" w:cs="Times New Roman"/>
          <w:sz w:val="20"/>
          <w:szCs w:val="20"/>
        </w:rPr>
        <w:t xml:space="preserve">signaling and their selectivity towards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Hg(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ii) ion. Org </w:t>
      </w:r>
      <w:r w:rsidRPr="00E10489">
        <w:rPr>
          <w:rFonts w:ascii="Times New Roman" w:hAnsi="Times New Roman" w:cs="Times New Roman"/>
          <w:sz w:val="20"/>
          <w:szCs w:val="20"/>
        </w:rPr>
        <w:t xml:space="preserve">Biomol Chem. 2011; 9:4467-4480. </w:t>
      </w:r>
      <w:r w:rsidRPr="00E10489">
        <w:rPr>
          <w:rFonts w:ascii="Times New Roman" w:hAnsi="Times New Roman" w:cs="Times New Roman"/>
          <w:sz w:val="20"/>
          <w:szCs w:val="20"/>
        </w:rPr>
        <w:t xml:space="preserve"> Bag B, Pal A. Water induced chromogenic and fluorogenic signal modula</w:t>
      </w:r>
      <w:r w:rsidRPr="00E10489">
        <w:rPr>
          <w:rFonts w:ascii="Times New Roman" w:hAnsi="Times New Roman" w:cs="Times New Roman"/>
          <w:sz w:val="20"/>
          <w:szCs w:val="20"/>
        </w:rPr>
        <w:t xml:space="preserve">tion in a bi- </w:t>
      </w:r>
      <w:r w:rsidRPr="00E10489">
        <w:rPr>
          <w:rFonts w:ascii="Times New Roman" w:hAnsi="Times New Roman" w:cs="Times New Roman"/>
          <w:sz w:val="20"/>
          <w:szCs w:val="20"/>
        </w:rPr>
        <w:t>fluorophore appended acyclic amino-receptor system. Or</w:t>
      </w:r>
      <w:r w:rsidRPr="00E10489">
        <w:rPr>
          <w:rFonts w:ascii="Times New Roman" w:hAnsi="Times New Roman" w:cs="Times New Roman"/>
          <w:sz w:val="20"/>
          <w:szCs w:val="20"/>
        </w:rPr>
        <w:t xml:space="preserve">g Biomol Chem. 2011; 9:915-925. </w:t>
      </w:r>
      <w:r w:rsidRPr="00E10489">
        <w:rPr>
          <w:rFonts w:ascii="Times New Roman" w:hAnsi="Times New Roman" w:cs="Times New Roman"/>
          <w:sz w:val="20"/>
          <w:szCs w:val="20"/>
        </w:rPr>
        <w:t>Bag B, Biswal B. Alteration of selectivity in rhodami</w:t>
      </w:r>
      <w:r w:rsidRPr="00E10489">
        <w:rPr>
          <w:rFonts w:ascii="Times New Roman" w:hAnsi="Times New Roman" w:cs="Times New Roman"/>
          <w:sz w:val="20"/>
          <w:szCs w:val="20"/>
        </w:rPr>
        <w:t xml:space="preserve">ne-based probes for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Fe(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iii) and </w:t>
      </w:r>
      <w:r w:rsidRPr="00E10489">
        <w:rPr>
          <w:rFonts w:ascii="Times New Roman" w:hAnsi="Times New Roman" w:cs="Times New Roman"/>
          <w:sz w:val="20"/>
          <w:szCs w:val="20"/>
        </w:rPr>
        <w:t xml:space="preserve">Hg(ii) ion induced dual mode signalling responses. </w:t>
      </w:r>
      <w:r w:rsidRPr="00E10489">
        <w:rPr>
          <w:rFonts w:ascii="Times New Roman" w:hAnsi="Times New Roman" w:cs="Times New Roman"/>
          <w:sz w:val="20"/>
          <w:szCs w:val="20"/>
        </w:rPr>
        <w:t xml:space="preserve">Org Biomol Chem. 2012; 10:2733. </w:t>
      </w:r>
      <w:r w:rsidRPr="00E10489">
        <w:rPr>
          <w:rFonts w:ascii="Times New Roman" w:hAnsi="Times New Roman" w:cs="Times New Roman"/>
          <w:sz w:val="20"/>
          <w:szCs w:val="20"/>
        </w:rPr>
        <w:t xml:space="preserve"> Biswal B, Bag B. Preferences of rhodamine coupled</w:t>
      </w:r>
      <w:r w:rsidRPr="00E10489">
        <w:rPr>
          <w:rFonts w:ascii="Times New Roman" w:hAnsi="Times New Roman" w:cs="Times New Roman"/>
          <w:sz w:val="20"/>
          <w:szCs w:val="20"/>
        </w:rPr>
        <w:t xml:space="preserve"> (aminoalkyl)-piperazine probes </w:t>
      </w:r>
      <w:r w:rsidRPr="00E10489">
        <w:rPr>
          <w:rFonts w:ascii="Times New Roman" w:hAnsi="Times New Roman" w:cs="Times New Roman"/>
          <w:sz w:val="20"/>
          <w:szCs w:val="20"/>
        </w:rPr>
        <w:t xml:space="preserve">towards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Hg(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>ii) ion and their FRET mediated signaling. Org Biomol Chem. 2013; 11:4975-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4992.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Biswal B, Bag B. Photophysical investigations of a FRET-based bifluorophoric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 xml:space="preserve">conjugate and its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Hg(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II) specific ratiometric </w:t>
      </w:r>
      <w:r w:rsidRPr="00E10489">
        <w:rPr>
          <w:rFonts w:ascii="Times New Roman" w:hAnsi="Times New Roman" w:cs="Times New Roman"/>
          <w:sz w:val="20"/>
          <w:szCs w:val="20"/>
        </w:rPr>
        <w:t xml:space="preserve">‘turn-on’ signalling. Photochem Photobiol. 2015: 311:127-136. </w:t>
      </w:r>
      <w:r w:rsidRPr="00E10489">
        <w:rPr>
          <w:rFonts w:ascii="Times New Roman" w:hAnsi="Times New Roman" w:cs="Times New Roman"/>
          <w:sz w:val="20"/>
          <w:szCs w:val="20"/>
        </w:rPr>
        <w:t>Ma Wenli, Tian Z, Zang S, et al. Lysosome targeted drugs</w:t>
      </w:r>
      <w:r w:rsidRPr="00E10489">
        <w:rPr>
          <w:rFonts w:ascii="Times New Roman" w:hAnsi="Times New Roman" w:cs="Times New Roman"/>
          <w:sz w:val="20"/>
          <w:szCs w:val="20"/>
        </w:rPr>
        <w:t xml:space="preserve">: rhodamine B modified N^N- </w:t>
      </w:r>
      <w:r w:rsidRPr="00E10489">
        <w:rPr>
          <w:rFonts w:ascii="Times New Roman" w:hAnsi="Times New Roman" w:cs="Times New Roman"/>
          <w:sz w:val="20"/>
          <w:szCs w:val="20"/>
        </w:rPr>
        <w:t xml:space="preserve">chelating ligands for half-sandwich 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iridium(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>iii) anticanc</w:t>
      </w:r>
      <w:r w:rsidRPr="00E10489">
        <w:rPr>
          <w:rFonts w:ascii="Times New Roman" w:hAnsi="Times New Roman" w:cs="Times New Roman"/>
          <w:sz w:val="20"/>
          <w:szCs w:val="20"/>
        </w:rPr>
        <w:t>er complexes. Inorg Chem Front. 2018; 5:2587-2597.</w:t>
      </w:r>
      <w:r w:rsidRPr="00E10489">
        <w:rPr>
          <w:rFonts w:ascii="Times New Roman" w:hAnsi="Times New Roman" w:cs="Times New Roman"/>
          <w:sz w:val="20"/>
          <w:szCs w:val="20"/>
        </w:rPr>
        <w:t>Rezaei-Seresht H, Cheshomi H, Falanji F, M</w:t>
      </w:r>
      <w:r w:rsidRPr="00E10489">
        <w:rPr>
          <w:rFonts w:ascii="Times New Roman" w:hAnsi="Times New Roman" w:cs="Times New Roman"/>
          <w:sz w:val="20"/>
          <w:szCs w:val="20"/>
        </w:rPr>
        <w:t xml:space="preserve">ovahedi-Motlagh F, Hashemian M, </w:t>
      </w:r>
      <w:r w:rsidRPr="00E10489">
        <w:rPr>
          <w:rFonts w:ascii="Times New Roman" w:hAnsi="Times New Roman" w:cs="Times New Roman"/>
          <w:sz w:val="20"/>
          <w:szCs w:val="20"/>
        </w:rPr>
        <w:t xml:space="preserve">Mireskandari E. Cytotoxic activity of caffeic acid and </w:t>
      </w:r>
      <w:r w:rsidRPr="00E10489">
        <w:rPr>
          <w:rFonts w:ascii="Times New Roman" w:hAnsi="Times New Roman" w:cs="Times New Roman"/>
          <w:sz w:val="20"/>
          <w:szCs w:val="20"/>
        </w:rPr>
        <w:t xml:space="preserve">gallic acid against MCF-7 human </w:t>
      </w:r>
      <w:r w:rsidRPr="00E10489">
        <w:rPr>
          <w:rFonts w:ascii="Times New Roman" w:hAnsi="Times New Roman" w:cs="Times New Roman"/>
          <w:sz w:val="20"/>
          <w:szCs w:val="20"/>
        </w:rPr>
        <w:t>breas</w:t>
      </w:r>
      <w:r w:rsidRPr="00E10489">
        <w:rPr>
          <w:rFonts w:ascii="Times New Roman" w:hAnsi="Times New Roman" w:cs="Times New Roman"/>
          <w:sz w:val="20"/>
          <w:szCs w:val="20"/>
        </w:rPr>
        <w:t>t cancer cells.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10489" w:rsidRPr="00E10489" w:rsidRDefault="00E10489" w:rsidP="00E10489">
      <w:pPr>
        <w:rPr>
          <w:rFonts w:ascii="Times New Roman" w:hAnsi="Times New Roman" w:cs="Times New Roman"/>
          <w:sz w:val="24"/>
          <w:szCs w:val="24"/>
        </w:rPr>
      </w:pPr>
    </w:p>
    <w:sectPr w:rsidR="00E10489" w:rsidRPr="00E10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89"/>
    <w:rsid w:val="0002218E"/>
    <w:rsid w:val="00B4238C"/>
    <w:rsid w:val="00E10489"/>
    <w:rsid w:val="00F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2023-01-31T09:57:00Z</dcterms:created>
  <dcterms:modified xsi:type="dcterms:W3CDTF">2023-01-31T09:57:00Z</dcterms:modified>
</cp:coreProperties>
</file>