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959" w:rsidRDefault="00B37959" w:rsidP="00E04DFF">
      <w:pPr>
        <w:pStyle w:val="BodyText"/>
        <w:spacing w:after="200" w:line="276" w:lineRule="auto"/>
        <w:rPr>
          <w:rFonts w:ascii="Times New Roman" w:eastAsia="Minion Pro" w:hAnsi="Times New Roman" w:cs="Times New Roman"/>
          <w:b/>
          <w:bCs/>
          <w:color w:val="337AB7"/>
          <w:sz w:val="32"/>
          <w:szCs w:val="24"/>
        </w:rPr>
      </w:pPr>
      <w:r w:rsidRPr="00B37959">
        <w:rPr>
          <w:rFonts w:ascii="Times New Roman" w:eastAsia="Minion Pro" w:hAnsi="Times New Roman" w:cs="Times New Roman"/>
          <w:b/>
          <w:bCs/>
          <w:color w:val="337AB7"/>
          <w:sz w:val="32"/>
          <w:szCs w:val="24"/>
        </w:rPr>
        <w:t xml:space="preserve">Autophagy-related genes in Egyptian patients with </w:t>
      </w:r>
      <w:proofErr w:type="spellStart"/>
      <w:r w:rsidRPr="00B37959">
        <w:rPr>
          <w:rFonts w:ascii="Times New Roman" w:eastAsia="Minion Pro" w:hAnsi="Times New Roman" w:cs="Times New Roman"/>
          <w:b/>
          <w:bCs/>
          <w:color w:val="337AB7"/>
          <w:sz w:val="32"/>
          <w:szCs w:val="24"/>
        </w:rPr>
        <w:t>Behçet’s</w:t>
      </w:r>
      <w:proofErr w:type="spellEnd"/>
      <w:r w:rsidRPr="00B37959">
        <w:rPr>
          <w:rFonts w:ascii="Times New Roman" w:eastAsia="Minion Pro" w:hAnsi="Times New Roman" w:cs="Times New Roman"/>
          <w:b/>
          <w:bCs/>
          <w:color w:val="337AB7"/>
          <w:sz w:val="32"/>
          <w:szCs w:val="24"/>
        </w:rPr>
        <w:t xml:space="preserve"> disease</w:t>
      </w:r>
    </w:p>
    <w:p w:rsidR="00B37959" w:rsidRDefault="00B37959" w:rsidP="00E04DFF">
      <w:pPr>
        <w:pStyle w:val="BodyText"/>
        <w:spacing w:after="200" w:line="276" w:lineRule="auto"/>
        <w:rPr>
          <w:rFonts w:ascii="Times New Roman" w:hAnsi="Times New Roman" w:cs="Times New Roman"/>
          <w:sz w:val="24"/>
          <w:szCs w:val="24"/>
        </w:rPr>
      </w:pPr>
      <w:proofErr w:type="spellStart"/>
      <w:r w:rsidRPr="00B37959">
        <w:rPr>
          <w:rFonts w:ascii="Times New Roman" w:hAnsi="Times New Roman" w:cs="Times New Roman"/>
          <w:sz w:val="24"/>
          <w:szCs w:val="24"/>
        </w:rPr>
        <w:t>Saleh</w:t>
      </w:r>
      <w:proofErr w:type="spellEnd"/>
      <w:r w:rsidRPr="00B37959">
        <w:rPr>
          <w:rFonts w:ascii="Times New Roman" w:hAnsi="Times New Roman" w:cs="Times New Roman"/>
          <w:sz w:val="24"/>
          <w:szCs w:val="24"/>
        </w:rPr>
        <w:t xml:space="preserve">, </w:t>
      </w:r>
      <w:proofErr w:type="spellStart"/>
      <w:r w:rsidRPr="00B37959">
        <w:rPr>
          <w:rFonts w:ascii="Times New Roman" w:hAnsi="Times New Roman" w:cs="Times New Roman"/>
          <w:sz w:val="24"/>
          <w:szCs w:val="24"/>
        </w:rPr>
        <w:t>Doaa</w:t>
      </w:r>
      <w:proofErr w:type="spellEnd"/>
      <w:r>
        <w:rPr>
          <w:rFonts w:ascii="Times New Roman" w:hAnsi="Times New Roman" w:cs="Times New Roman"/>
          <w:sz w:val="24"/>
          <w:szCs w:val="24"/>
        </w:rPr>
        <w:t>*</w:t>
      </w:r>
    </w:p>
    <w:p w:rsidR="00691AAB" w:rsidRPr="00B37959" w:rsidRDefault="00B37959" w:rsidP="00B37959">
      <w:pPr>
        <w:pStyle w:val="Heading3"/>
        <w:spacing w:before="0" w:after="200"/>
        <w:rPr>
          <w:rFonts w:ascii="Times New Roman" w:eastAsia="Tw Cen MT" w:hAnsi="Times New Roman" w:cs="Times New Roman"/>
          <w:b w:val="0"/>
          <w:bCs w:val="0"/>
          <w:color w:val="auto"/>
          <w:szCs w:val="24"/>
          <w:lang w:val="en-US"/>
        </w:rPr>
      </w:pPr>
      <w:r w:rsidRPr="00B37959">
        <w:rPr>
          <w:rFonts w:ascii="Times New Roman" w:eastAsia="Tw Cen MT" w:hAnsi="Times New Roman" w:cs="Times New Roman"/>
          <w:b w:val="0"/>
          <w:bCs w:val="0"/>
          <w:color w:val="auto"/>
          <w:szCs w:val="24"/>
          <w:lang w:val="en-US"/>
        </w:rPr>
        <w:t>University, Cairo, Egypt</w:t>
      </w:r>
      <w:r>
        <w:rPr>
          <w:rFonts w:ascii="Times New Roman" w:eastAsia="Tw Cen MT" w:hAnsi="Times New Roman" w:cs="Times New Roman"/>
          <w:b w:val="0"/>
          <w:bCs w:val="0"/>
          <w:color w:val="auto"/>
          <w:szCs w:val="24"/>
          <w:lang w:val="en-US"/>
        </w:rPr>
        <w:t xml:space="preserve">                        </w:t>
      </w:r>
      <w:r>
        <w:rPr>
          <w:rFonts w:ascii="Times New Roman" w:hAnsi="Times New Roman" w:cs="Times New Roman"/>
          <w:color w:val="auto"/>
          <w:sz w:val="24"/>
          <w:szCs w:val="24"/>
          <w:lang w:val="en-IN"/>
        </w:rPr>
        <w:t xml:space="preserve">Abstract </w:t>
      </w:r>
    </w:p>
    <w:p w:rsidR="00691AAB" w:rsidRDefault="00B37959" w:rsidP="00B37959">
      <w:pPr>
        <w:pStyle w:val="BodyText"/>
        <w:spacing w:after="200" w:line="276" w:lineRule="auto"/>
        <w:jc w:val="both"/>
        <w:rPr>
          <w:rFonts w:ascii="Times New Roman" w:hAnsi="Times New Roman" w:cs="Times New Roman"/>
          <w:sz w:val="20"/>
          <w:szCs w:val="24"/>
        </w:rPr>
      </w:pPr>
      <w:r w:rsidRPr="002424C2">
        <w:rPr>
          <w:rFonts w:ascii="Times New Roman" w:hAnsi="Times New Roman" w:cs="Times New Roman"/>
          <w:b/>
          <w:sz w:val="20"/>
          <w:szCs w:val="24"/>
        </w:rPr>
        <w:t>Background:</w:t>
      </w:r>
      <w:r w:rsidRPr="00B37959">
        <w:rPr>
          <w:rFonts w:ascii="Times New Roman" w:hAnsi="Times New Roman" w:cs="Times New Roman"/>
          <w:sz w:val="20"/>
          <w:szCs w:val="24"/>
        </w:rPr>
        <w:t xml:space="preserve"> </w:t>
      </w:r>
      <w:proofErr w:type="spellStart"/>
      <w:r w:rsidRPr="00B37959">
        <w:rPr>
          <w:rFonts w:ascii="Times New Roman" w:hAnsi="Times New Roman" w:cs="Times New Roman"/>
          <w:sz w:val="20"/>
          <w:szCs w:val="24"/>
        </w:rPr>
        <w:t>Behçet's</w:t>
      </w:r>
      <w:proofErr w:type="spellEnd"/>
      <w:r w:rsidRPr="00B37959">
        <w:rPr>
          <w:rFonts w:ascii="Times New Roman" w:hAnsi="Times New Roman" w:cs="Times New Roman"/>
          <w:sz w:val="20"/>
          <w:szCs w:val="24"/>
        </w:rPr>
        <w:t xml:space="preserve"> disease (BD) is a chronic, multi-systemic, recurrent condition that affects the vascular, ocular, </w:t>
      </w:r>
      <w:proofErr w:type="spellStart"/>
      <w:r w:rsidRPr="00B37959">
        <w:rPr>
          <w:rFonts w:ascii="Times New Roman" w:hAnsi="Times New Roman" w:cs="Times New Roman"/>
          <w:sz w:val="20"/>
          <w:szCs w:val="24"/>
        </w:rPr>
        <w:t>mucocutaneous</w:t>
      </w:r>
      <w:proofErr w:type="spellEnd"/>
      <w:r w:rsidRPr="00B37959">
        <w:rPr>
          <w:rFonts w:ascii="Times New Roman" w:hAnsi="Times New Roman" w:cs="Times New Roman"/>
          <w:sz w:val="20"/>
          <w:szCs w:val="24"/>
        </w:rPr>
        <w:t xml:space="preserve">, and central nervous systems. The diagnosis of this disease depends on its clinical features, which are similar to those observed in several diseases, such as Parkinson's disease, pemphigus vulgaris, systemic lupus </w:t>
      </w:r>
      <w:proofErr w:type="spellStart"/>
      <w:r w:rsidRPr="00B37959">
        <w:rPr>
          <w:rFonts w:ascii="Times New Roman" w:hAnsi="Times New Roman" w:cs="Times New Roman"/>
          <w:sz w:val="20"/>
          <w:szCs w:val="24"/>
        </w:rPr>
        <w:t>erythematosus</w:t>
      </w:r>
      <w:proofErr w:type="spellEnd"/>
      <w:r w:rsidRPr="00B37959">
        <w:rPr>
          <w:rFonts w:ascii="Times New Roman" w:hAnsi="Times New Roman" w:cs="Times New Roman"/>
          <w:sz w:val="20"/>
          <w:szCs w:val="24"/>
        </w:rPr>
        <w:t xml:space="preserve">, </w:t>
      </w:r>
      <w:proofErr w:type="spellStart"/>
      <w:r w:rsidRPr="00B37959">
        <w:rPr>
          <w:rFonts w:ascii="Times New Roman" w:hAnsi="Times New Roman" w:cs="Times New Roman"/>
          <w:sz w:val="20"/>
          <w:szCs w:val="24"/>
        </w:rPr>
        <w:t>Crohn</w:t>
      </w:r>
      <w:proofErr w:type="spellEnd"/>
      <w:r w:rsidRPr="00B37959">
        <w:rPr>
          <w:rFonts w:ascii="Times New Roman" w:hAnsi="Times New Roman" w:cs="Times New Roman"/>
          <w:sz w:val="20"/>
          <w:szCs w:val="24"/>
        </w:rPr>
        <w:t xml:space="preserve"> ҆s disease, and </w:t>
      </w:r>
      <w:proofErr w:type="spellStart"/>
      <w:r w:rsidRPr="00B37959">
        <w:rPr>
          <w:rFonts w:ascii="Times New Roman" w:hAnsi="Times New Roman" w:cs="Times New Roman"/>
          <w:sz w:val="20"/>
          <w:szCs w:val="24"/>
        </w:rPr>
        <w:t>Sjӧgren's</w:t>
      </w:r>
      <w:proofErr w:type="spellEnd"/>
      <w:r w:rsidRPr="00B37959">
        <w:rPr>
          <w:rFonts w:ascii="Times New Roman" w:hAnsi="Times New Roman" w:cs="Times New Roman"/>
          <w:sz w:val="20"/>
          <w:szCs w:val="24"/>
        </w:rPr>
        <w:t xml:space="preserve"> syndrome. Lysosome-mediated autophagy is a catabolic, </w:t>
      </w:r>
      <w:proofErr w:type="spellStart"/>
      <w:r w:rsidRPr="00B37959">
        <w:rPr>
          <w:rFonts w:ascii="Times New Roman" w:hAnsi="Times New Roman" w:cs="Times New Roman"/>
          <w:sz w:val="20"/>
          <w:szCs w:val="24"/>
        </w:rPr>
        <w:t>cytoprotective</w:t>
      </w:r>
      <w:proofErr w:type="spellEnd"/>
      <w:r w:rsidRPr="00B37959">
        <w:rPr>
          <w:rFonts w:ascii="Times New Roman" w:hAnsi="Times New Roman" w:cs="Times New Roman"/>
          <w:sz w:val="20"/>
          <w:szCs w:val="24"/>
        </w:rPr>
        <w:t xml:space="preserve"> mechanism that maintains cell homeostasis by degrading undesired long-lived proteins and recycling nutrients. The aim of this study was to evaluate the correlations between some autophagy-related genes (ATG5, ATG7, ATG12, LC3b, </w:t>
      </w:r>
      <w:proofErr w:type="spellStart"/>
      <w:r w:rsidRPr="00B37959">
        <w:rPr>
          <w:rFonts w:ascii="Times New Roman" w:hAnsi="Times New Roman" w:cs="Times New Roman"/>
          <w:sz w:val="20"/>
          <w:szCs w:val="24"/>
        </w:rPr>
        <w:t>mTOR</w:t>
      </w:r>
      <w:proofErr w:type="spellEnd"/>
      <w:r w:rsidRPr="00B37959">
        <w:rPr>
          <w:rFonts w:ascii="Times New Roman" w:hAnsi="Times New Roman" w:cs="Times New Roman"/>
          <w:sz w:val="20"/>
          <w:szCs w:val="24"/>
        </w:rPr>
        <w:t>) and the pathogenesis and immunopathology of BD. The expression levels of the genes were evaluated by quantitative polymerase chain reaction (</w:t>
      </w:r>
      <w:proofErr w:type="spellStart"/>
      <w:r w:rsidRPr="00B37959">
        <w:rPr>
          <w:rFonts w:ascii="Times New Roman" w:hAnsi="Times New Roman" w:cs="Times New Roman"/>
          <w:sz w:val="20"/>
          <w:szCs w:val="24"/>
        </w:rPr>
        <w:t>qPCR</w:t>
      </w:r>
      <w:proofErr w:type="spellEnd"/>
      <w:r w:rsidRPr="00B37959">
        <w:rPr>
          <w:rFonts w:ascii="Times New Roman" w:hAnsi="Times New Roman" w:cs="Times New Roman"/>
          <w:sz w:val="20"/>
          <w:szCs w:val="24"/>
        </w:rPr>
        <w:t xml:space="preserve">) in 101 individuals that are classified into two groups. Group 1: (n = 71) BD patients, Group 2: (n = 30) healthy controls. Results: Patients with BD had lower mRNA expression levels of ATG5 and </w:t>
      </w:r>
      <w:proofErr w:type="spellStart"/>
      <w:r w:rsidRPr="00B37959">
        <w:rPr>
          <w:rFonts w:ascii="Times New Roman" w:hAnsi="Times New Roman" w:cs="Times New Roman"/>
          <w:sz w:val="20"/>
          <w:szCs w:val="24"/>
        </w:rPr>
        <w:t>mTOR</w:t>
      </w:r>
      <w:proofErr w:type="spellEnd"/>
      <w:r w:rsidRPr="00B37959">
        <w:rPr>
          <w:rFonts w:ascii="Times New Roman" w:hAnsi="Times New Roman" w:cs="Times New Roman"/>
          <w:sz w:val="20"/>
          <w:szCs w:val="24"/>
        </w:rPr>
        <w:t xml:space="preserve"> and higher levels of LC3b mRNA than the controls. No significant differences in the levels of both ATG7 and ATG12 were observed between the two groups. According to the area under the curve analysis, LC3b was considered the best candidate biomarker among the selected markers for the diagnosis of BD. The mRNA expression of ATG5 was significantly correlated with patient age and the presence of oral ulcers. The mRNA expression of ATG7 was significantly associated with age and the presence of erythema </w:t>
      </w:r>
      <w:proofErr w:type="spellStart"/>
      <w:r w:rsidRPr="00B37959">
        <w:rPr>
          <w:rFonts w:ascii="Times New Roman" w:hAnsi="Times New Roman" w:cs="Times New Roman"/>
          <w:sz w:val="20"/>
          <w:szCs w:val="24"/>
        </w:rPr>
        <w:t>nodosum</w:t>
      </w:r>
      <w:proofErr w:type="spellEnd"/>
      <w:r w:rsidRPr="00B37959">
        <w:rPr>
          <w:rFonts w:ascii="Times New Roman" w:hAnsi="Times New Roman" w:cs="Times New Roman"/>
          <w:sz w:val="20"/>
          <w:szCs w:val="24"/>
        </w:rPr>
        <w:t xml:space="preserve"> and vascular lesions, whereas that of LC3b was significantly correlated with the presence of pustules. Conclusion: These findings indicated that elevated levels of LC3b were strongly associated with BD. </w:t>
      </w:r>
      <w:proofErr w:type="gramStart"/>
      <w:r w:rsidRPr="00B37959">
        <w:rPr>
          <w:rFonts w:ascii="Times New Roman" w:hAnsi="Times New Roman" w:cs="Times New Roman"/>
          <w:sz w:val="20"/>
          <w:szCs w:val="24"/>
        </w:rPr>
        <w:t>Likewise,</w:t>
      </w:r>
      <w:proofErr w:type="gramEnd"/>
      <w:r w:rsidRPr="00B37959">
        <w:rPr>
          <w:rFonts w:ascii="Times New Roman" w:hAnsi="Times New Roman" w:cs="Times New Roman"/>
          <w:sz w:val="20"/>
          <w:szCs w:val="24"/>
        </w:rPr>
        <w:t xml:space="preserve"> the levels of ATG5 and ATG7 were associated with the complications and outcomes of this disease. Additional assessments of the mRNA expression levels of these autophagy-related genes might prove beneficial in diagnosing this autoimmune disorder.</w:t>
      </w:r>
      <w:bookmarkStart w:id="0" w:name="_GoBack"/>
      <w:bookmarkEnd w:id="0"/>
    </w:p>
    <w:p w:rsidR="002424C2" w:rsidRPr="002424C2" w:rsidRDefault="002424C2" w:rsidP="00B37959">
      <w:pPr>
        <w:pStyle w:val="BodyText"/>
        <w:spacing w:after="200" w:line="276" w:lineRule="auto"/>
        <w:jc w:val="both"/>
        <w:rPr>
          <w:rFonts w:ascii="Times New Roman" w:hAnsi="Times New Roman" w:cs="Times New Roman"/>
          <w:sz w:val="20"/>
          <w:szCs w:val="20"/>
        </w:rPr>
      </w:pPr>
      <w:r w:rsidRPr="002424C2">
        <w:rPr>
          <w:rFonts w:ascii="Times New Roman" w:hAnsi="Times New Roman" w:cs="Times New Roman"/>
          <w:b/>
          <w:sz w:val="20"/>
          <w:szCs w:val="20"/>
        </w:rPr>
        <w:t>Result:</w:t>
      </w:r>
      <w:r>
        <w:rPr>
          <w:rFonts w:ascii="Times New Roman" w:hAnsi="Times New Roman" w:cs="Times New Roman"/>
          <w:sz w:val="20"/>
          <w:szCs w:val="20"/>
        </w:rPr>
        <w:t xml:space="preserve"> </w:t>
      </w:r>
      <w:r w:rsidRPr="002424C2">
        <w:rPr>
          <w:rFonts w:ascii="Times New Roman" w:hAnsi="Times New Roman" w:cs="Times New Roman"/>
          <w:sz w:val="20"/>
          <w:szCs w:val="20"/>
        </w:rPr>
        <w:t>Our results showed that the mean levels of Beclin-1, LC-3 and interleukin (IL)-10 transcripts were significantly higher in SLE patients compared to healthy controls. The previous transcripts were positively correlated with SLE Disease Activity Index (SLEDAI). Beclin-1 and LC-3 transcripts were negatively correlated to complement component 3 (C3) levels. Only LC-3 transcripts were negatively correlated to complement component 4 (C4). The rs573775 SNP of ATG-5 with the variant allele was significantly associated with disease susceptibility, conferring a higher risk of SLE development. This variant allele was more prevalent in patients below 30 years, patients with anemia and in patients with anti-double-stranded DNA (</w:t>
      </w:r>
      <w:proofErr w:type="spellStart"/>
      <w:r w:rsidRPr="002424C2">
        <w:rPr>
          <w:rFonts w:ascii="Times New Roman" w:hAnsi="Times New Roman" w:cs="Times New Roman"/>
          <w:sz w:val="20"/>
          <w:szCs w:val="20"/>
        </w:rPr>
        <w:t>dsDNA</w:t>
      </w:r>
      <w:proofErr w:type="spellEnd"/>
      <w:r w:rsidRPr="002424C2">
        <w:rPr>
          <w:rFonts w:ascii="Times New Roman" w:hAnsi="Times New Roman" w:cs="Times New Roman"/>
          <w:sz w:val="20"/>
          <w:szCs w:val="20"/>
        </w:rPr>
        <w:t>), confirming the essential role of ATG-5 polymorphism in the susceptibility of Egyptian patients to SLE</w:t>
      </w:r>
    </w:p>
    <w:p w:rsidR="00B37959" w:rsidRDefault="00691AAB" w:rsidP="00B37959">
      <w:pPr>
        <w:rPr>
          <w:rFonts w:ascii="Times New Roman" w:hAnsi="Times New Roman" w:cs="Times New Roman"/>
          <w:b/>
          <w:sz w:val="24"/>
          <w:szCs w:val="24"/>
        </w:rPr>
      </w:pPr>
      <w:r w:rsidRPr="00E04DFF">
        <w:rPr>
          <w:rFonts w:ascii="Times New Roman" w:hAnsi="Times New Roman" w:cs="Times New Roman"/>
          <w:b/>
          <w:sz w:val="24"/>
          <w:szCs w:val="24"/>
        </w:rPr>
        <w:t>Reference</w:t>
      </w:r>
    </w:p>
    <w:p w:rsidR="00B37959" w:rsidRPr="00B37959" w:rsidRDefault="00691AAB" w:rsidP="00B37959">
      <w:pPr>
        <w:pStyle w:val="ListParagraph"/>
        <w:numPr>
          <w:ilvl w:val="0"/>
          <w:numId w:val="4"/>
        </w:numPr>
        <w:rPr>
          <w:rFonts w:ascii="Times New Roman" w:hAnsi="Times New Roman" w:cs="Times New Roman"/>
          <w:sz w:val="20"/>
          <w:szCs w:val="24"/>
        </w:rPr>
      </w:pPr>
      <w:r w:rsidRPr="00B37959">
        <w:rPr>
          <w:rFonts w:ascii="Times New Roman" w:hAnsi="Times New Roman" w:cs="Times New Roman"/>
          <w:sz w:val="20"/>
          <w:szCs w:val="24"/>
        </w:rPr>
        <w:t xml:space="preserve">Harper C. The neuropathology of alcohol-related </w:t>
      </w:r>
      <w:proofErr w:type="spellStart"/>
      <w:r w:rsidRPr="00B37959">
        <w:rPr>
          <w:rFonts w:ascii="Times New Roman" w:hAnsi="Times New Roman" w:cs="Times New Roman"/>
          <w:sz w:val="20"/>
          <w:szCs w:val="24"/>
        </w:rPr>
        <w:t>braindamage</w:t>
      </w:r>
      <w:proofErr w:type="spellEnd"/>
      <w:r w:rsidRPr="00B37959">
        <w:rPr>
          <w:rFonts w:ascii="Times New Roman" w:hAnsi="Times New Roman" w:cs="Times New Roman"/>
          <w:sz w:val="20"/>
          <w:szCs w:val="24"/>
        </w:rPr>
        <w:t xml:space="preserve">. Alcohol </w:t>
      </w:r>
      <w:proofErr w:type="spellStart"/>
      <w:r w:rsidRPr="00B37959">
        <w:rPr>
          <w:rFonts w:ascii="Times New Roman" w:hAnsi="Times New Roman" w:cs="Times New Roman"/>
          <w:sz w:val="20"/>
          <w:szCs w:val="24"/>
        </w:rPr>
        <w:t>Alcohol</w:t>
      </w:r>
      <w:proofErr w:type="spellEnd"/>
      <w:r w:rsidRPr="00B37959">
        <w:rPr>
          <w:rFonts w:ascii="Times New Roman" w:hAnsi="Times New Roman" w:cs="Times New Roman"/>
          <w:sz w:val="20"/>
          <w:szCs w:val="24"/>
        </w:rPr>
        <w:t>. 2009;44:136-40</w:t>
      </w:r>
    </w:p>
    <w:p w:rsidR="00691AAB" w:rsidRPr="00B37959" w:rsidRDefault="00691AAB" w:rsidP="00B37959">
      <w:pPr>
        <w:pStyle w:val="ListParagraph"/>
        <w:numPr>
          <w:ilvl w:val="0"/>
          <w:numId w:val="4"/>
        </w:numPr>
        <w:rPr>
          <w:rFonts w:ascii="Times New Roman" w:hAnsi="Times New Roman" w:cs="Times New Roman"/>
          <w:sz w:val="20"/>
          <w:szCs w:val="24"/>
        </w:rPr>
      </w:pPr>
      <w:proofErr w:type="spellStart"/>
      <w:r w:rsidRPr="00B37959">
        <w:rPr>
          <w:rFonts w:ascii="Times New Roman" w:hAnsi="Times New Roman" w:cs="Times New Roman"/>
          <w:sz w:val="20"/>
          <w:szCs w:val="24"/>
        </w:rPr>
        <w:t>Heilig</w:t>
      </w:r>
      <w:proofErr w:type="spellEnd"/>
      <w:r w:rsidRPr="00B37959">
        <w:rPr>
          <w:rFonts w:ascii="Times New Roman" w:hAnsi="Times New Roman" w:cs="Times New Roman"/>
          <w:sz w:val="20"/>
          <w:szCs w:val="24"/>
        </w:rPr>
        <w:t xml:space="preserve"> M, </w:t>
      </w:r>
      <w:proofErr w:type="spellStart"/>
      <w:r w:rsidRPr="00B37959">
        <w:rPr>
          <w:rFonts w:ascii="Times New Roman" w:hAnsi="Times New Roman" w:cs="Times New Roman"/>
          <w:sz w:val="20"/>
          <w:szCs w:val="24"/>
        </w:rPr>
        <w:t>Egli</w:t>
      </w:r>
      <w:proofErr w:type="spellEnd"/>
      <w:r w:rsidRPr="00B37959">
        <w:rPr>
          <w:rFonts w:ascii="Times New Roman" w:hAnsi="Times New Roman" w:cs="Times New Roman"/>
          <w:sz w:val="20"/>
          <w:szCs w:val="24"/>
        </w:rPr>
        <w:t xml:space="preserve"> M. Pharmacological treatment of alcohol dependence: </w:t>
      </w:r>
      <w:r w:rsidRPr="00B37959">
        <w:rPr>
          <w:rFonts w:ascii="Times New Roman" w:hAnsi="Times New Roman" w:cs="Times New Roman"/>
          <w:spacing w:val="-4"/>
          <w:sz w:val="20"/>
          <w:szCs w:val="24"/>
        </w:rPr>
        <w:t xml:space="preserve">Target </w:t>
      </w:r>
      <w:r w:rsidRPr="00B37959">
        <w:rPr>
          <w:rFonts w:ascii="Times New Roman" w:hAnsi="Times New Roman" w:cs="Times New Roman"/>
          <w:sz w:val="20"/>
          <w:szCs w:val="24"/>
        </w:rPr>
        <w:t>symptoms and target mechanisms. Pharmacology and therapeutics. 2006</w:t>
      </w:r>
      <w:proofErr w:type="gramStart"/>
      <w:r w:rsidRPr="00B37959">
        <w:rPr>
          <w:rFonts w:ascii="Times New Roman" w:hAnsi="Times New Roman" w:cs="Times New Roman"/>
          <w:sz w:val="20"/>
          <w:szCs w:val="24"/>
        </w:rPr>
        <w:t>;111:855</w:t>
      </w:r>
      <w:proofErr w:type="gramEnd"/>
      <w:r w:rsidRPr="00B37959">
        <w:rPr>
          <w:rFonts w:ascii="Times New Roman" w:hAnsi="Times New Roman" w:cs="Times New Roman"/>
          <w:sz w:val="20"/>
          <w:szCs w:val="24"/>
        </w:rPr>
        <w:t>-76.</w:t>
      </w:r>
    </w:p>
    <w:p w:rsidR="00691AAB" w:rsidRDefault="00691AAB" w:rsidP="00B37959">
      <w:pPr>
        <w:pStyle w:val="ListParagraph"/>
        <w:numPr>
          <w:ilvl w:val="0"/>
          <w:numId w:val="4"/>
        </w:numPr>
        <w:tabs>
          <w:tab w:val="left" w:pos="384"/>
        </w:tabs>
        <w:rPr>
          <w:rFonts w:ascii="Times New Roman" w:hAnsi="Times New Roman" w:cs="Times New Roman"/>
          <w:sz w:val="20"/>
          <w:szCs w:val="24"/>
        </w:rPr>
      </w:pPr>
      <w:proofErr w:type="spellStart"/>
      <w:r w:rsidRPr="00B37959">
        <w:rPr>
          <w:rFonts w:ascii="Times New Roman" w:hAnsi="Times New Roman" w:cs="Times New Roman"/>
          <w:sz w:val="20"/>
          <w:szCs w:val="24"/>
        </w:rPr>
        <w:t>LiX</w:t>
      </w:r>
      <w:proofErr w:type="spellEnd"/>
      <w:r w:rsidRPr="00B37959">
        <w:rPr>
          <w:rFonts w:ascii="Times New Roman" w:hAnsi="Times New Roman" w:cs="Times New Roman"/>
          <w:sz w:val="20"/>
          <w:szCs w:val="24"/>
        </w:rPr>
        <w:t xml:space="preserve">, </w:t>
      </w:r>
      <w:proofErr w:type="spellStart"/>
      <w:r w:rsidRPr="00B37959">
        <w:rPr>
          <w:rFonts w:ascii="Times New Roman" w:hAnsi="Times New Roman" w:cs="Times New Roman"/>
          <w:sz w:val="20"/>
          <w:szCs w:val="24"/>
        </w:rPr>
        <w:t>Schwacha</w:t>
      </w:r>
      <w:proofErr w:type="spellEnd"/>
      <w:r w:rsidRPr="00B37959">
        <w:rPr>
          <w:rFonts w:ascii="Times New Roman" w:hAnsi="Times New Roman" w:cs="Times New Roman"/>
          <w:sz w:val="20"/>
          <w:szCs w:val="24"/>
        </w:rPr>
        <w:t xml:space="preserve"> MG, </w:t>
      </w:r>
      <w:proofErr w:type="spellStart"/>
      <w:r w:rsidRPr="00B37959">
        <w:rPr>
          <w:rFonts w:ascii="Times New Roman" w:hAnsi="Times New Roman" w:cs="Times New Roman"/>
          <w:sz w:val="20"/>
          <w:szCs w:val="24"/>
        </w:rPr>
        <w:t>Chaudry</w:t>
      </w:r>
      <w:proofErr w:type="spellEnd"/>
      <w:r w:rsidRPr="00B37959">
        <w:rPr>
          <w:rFonts w:ascii="Times New Roman" w:hAnsi="Times New Roman" w:cs="Times New Roman"/>
          <w:sz w:val="20"/>
          <w:szCs w:val="24"/>
        </w:rPr>
        <w:t xml:space="preserve"> IH, et al. </w:t>
      </w:r>
      <w:proofErr w:type="spellStart"/>
      <w:r w:rsidRPr="00B37959">
        <w:rPr>
          <w:rFonts w:ascii="Times New Roman" w:hAnsi="Times New Roman" w:cs="Times New Roman"/>
          <w:sz w:val="20"/>
          <w:szCs w:val="24"/>
        </w:rPr>
        <w:t>Acutealcohol</w:t>
      </w:r>
      <w:proofErr w:type="spellEnd"/>
      <w:r w:rsidRPr="00B37959">
        <w:rPr>
          <w:rFonts w:ascii="Times New Roman" w:hAnsi="Times New Roman" w:cs="Times New Roman"/>
          <w:sz w:val="20"/>
          <w:szCs w:val="24"/>
        </w:rPr>
        <w:t xml:space="preserve"> intoxication potentiates neutrophil-mediated intestinal tissue damage after burn injury. Shock. 2006</w:t>
      </w:r>
      <w:proofErr w:type="gramStart"/>
      <w:r w:rsidRPr="00B37959">
        <w:rPr>
          <w:rFonts w:ascii="Times New Roman" w:hAnsi="Times New Roman" w:cs="Times New Roman"/>
          <w:sz w:val="20"/>
          <w:szCs w:val="24"/>
        </w:rPr>
        <w:t>;29:377</w:t>
      </w:r>
      <w:proofErr w:type="gramEnd"/>
      <w:r w:rsidRPr="00B37959">
        <w:rPr>
          <w:rFonts w:ascii="Times New Roman" w:hAnsi="Times New Roman" w:cs="Times New Roman"/>
          <w:sz w:val="20"/>
          <w:szCs w:val="24"/>
        </w:rPr>
        <w:t>.</w:t>
      </w:r>
    </w:p>
    <w:p w:rsidR="002424C2" w:rsidRDefault="002424C2" w:rsidP="002424C2">
      <w:pPr>
        <w:pStyle w:val="ListParagraph"/>
        <w:numPr>
          <w:ilvl w:val="0"/>
          <w:numId w:val="4"/>
        </w:numPr>
        <w:tabs>
          <w:tab w:val="left" w:pos="384"/>
        </w:tabs>
        <w:rPr>
          <w:rFonts w:ascii="Times New Roman" w:hAnsi="Times New Roman" w:cs="Times New Roman"/>
          <w:sz w:val="20"/>
          <w:szCs w:val="24"/>
        </w:rPr>
      </w:pPr>
      <w:r w:rsidRPr="002424C2">
        <w:rPr>
          <w:rFonts w:ascii="Times New Roman" w:hAnsi="Times New Roman" w:cs="Times New Roman"/>
          <w:sz w:val="20"/>
          <w:szCs w:val="24"/>
        </w:rPr>
        <w:t xml:space="preserve">Dang J, Li J, </w:t>
      </w:r>
      <w:proofErr w:type="spellStart"/>
      <w:r w:rsidRPr="002424C2">
        <w:rPr>
          <w:rFonts w:ascii="Times New Roman" w:hAnsi="Times New Roman" w:cs="Times New Roman"/>
          <w:sz w:val="20"/>
          <w:szCs w:val="24"/>
        </w:rPr>
        <w:t>Xin</w:t>
      </w:r>
      <w:proofErr w:type="spellEnd"/>
      <w:r w:rsidRPr="002424C2">
        <w:rPr>
          <w:rFonts w:ascii="Times New Roman" w:hAnsi="Times New Roman" w:cs="Times New Roman"/>
          <w:sz w:val="20"/>
          <w:szCs w:val="24"/>
        </w:rPr>
        <w:t xml:space="preserve"> Q, et al. Gene-gene interaction of ATG 5, ATG 7, BLK and BANK 1 in systemic lupus </w:t>
      </w:r>
      <w:proofErr w:type="spellStart"/>
      <w:r w:rsidRPr="002424C2">
        <w:rPr>
          <w:rFonts w:ascii="Times New Roman" w:hAnsi="Times New Roman" w:cs="Times New Roman"/>
          <w:sz w:val="20"/>
          <w:szCs w:val="24"/>
        </w:rPr>
        <w:t>erythematosus</w:t>
      </w:r>
      <w:proofErr w:type="spellEnd"/>
      <w:r w:rsidRPr="002424C2">
        <w:rPr>
          <w:rFonts w:ascii="Times New Roman" w:hAnsi="Times New Roman" w:cs="Times New Roman"/>
          <w:sz w:val="20"/>
          <w:szCs w:val="24"/>
        </w:rPr>
        <w:t>.</w:t>
      </w:r>
    </w:p>
    <w:p w:rsidR="002424C2" w:rsidRDefault="002424C2" w:rsidP="002424C2">
      <w:pPr>
        <w:pStyle w:val="ListParagraph"/>
        <w:numPr>
          <w:ilvl w:val="0"/>
          <w:numId w:val="4"/>
        </w:numPr>
        <w:tabs>
          <w:tab w:val="left" w:pos="384"/>
        </w:tabs>
        <w:rPr>
          <w:rFonts w:ascii="Times New Roman" w:hAnsi="Times New Roman" w:cs="Times New Roman"/>
          <w:sz w:val="20"/>
          <w:szCs w:val="24"/>
        </w:rPr>
      </w:pPr>
      <w:proofErr w:type="spellStart"/>
      <w:r w:rsidRPr="002424C2">
        <w:rPr>
          <w:rFonts w:ascii="Times New Roman" w:hAnsi="Times New Roman" w:cs="Times New Roman"/>
          <w:sz w:val="20"/>
          <w:szCs w:val="24"/>
        </w:rPr>
        <w:t>Parzych</w:t>
      </w:r>
      <w:proofErr w:type="spellEnd"/>
      <w:r w:rsidRPr="002424C2">
        <w:rPr>
          <w:rFonts w:ascii="Times New Roman" w:hAnsi="Times New Roman" w:cs="Times New Roman"/>
          <w:sz w:val="20"/>
          <w:szCs w:val="24"/>
        </w:rPr>
        <w:t xml:space="preserve"> KR, </w:t>
      </w:r>
      <w:proofErr w:type="spellStart"/>
      <w:r w:rsidRPr="002424C2">
        <w:rPr>
          <w:rFonts w:ascii="Times New Roman" w:hAnsi="Times New Roman" w:cs="Times New Roman"/>
          <w:sz w:val="20"/>
          <w:szCs w:val="24"/>
        </w:rPr>
        <w:t>Klionsky</w:t>
      </w:r>
      <w:proofErr w:type="spellEnd"/>
      <w:r w:rsidRPr="002424C2">
        <w:rPr>
          <w:rFonts w:ascii="Times New Roman" w:hAnsi="Times New Roman" w:cs="Times New Roman"/>
          <w:sz w:val="20"/>
          <w:szCs w:val="24"/>
        </w:rPr>
        <w:t xml:space="preserve"> DJ. An overview of autophagy: morphology, mechanism, and regulation. </w:t>
      </w:r>
      <w:proofErr w:type="spellStart"/>
      <w:r w:rsidRPr="002424C2">
        <w:rPr>
          <w:rFonts w:ascii="Times New Roman" w:hAnsi="Times New Roman" w:cs="Times New Roman"/>
          <w:sz w:val="20"/>
          <w:szCs w:val="24"/>
        </w:rPr>
        <w:t>Antioxid</w:t>
      </w:r>
      <w:proofErr w:type="spellEnd"/>
      <w:r w:rsidRPr="002424C2">
        <w:rPr>
          <w:rFonts w:ascii="Times New Roman" w:hAnsi="Times New Roman" w:cs="Times New Roman"/>
          <w:sz w:val="20"/>
          <w:szCs w:val="24"/>
        </w:rPr>
        <w:t xml:space="preserve"> Redox</w:t>
      </w:r>
    </w:p>
    <w:p w:rsidR="00B37959" w:rsidRDefault="00B37959" w:rsidP="00B37959">
      <w:pPr>
        <w:pStyle w:val="ListParagraph"/>
        <w:tabs>
          <w:tab w:val="left" w:pos="384"/>
        </w:tabs>
        <w:ind w:left="720" w:firstLine="0"/>
        <w:rPr>
          <w:rFonts w:ascii="Times New Roman" w:hAnsi="Times New Roman" w:cs="Times New Roman"/>
          <w:sz w:val="20"/>
          <w:szCs w:val="24"/>
        </w:rPr>
      </w:pPr>
    </w:p>
    <w:p w:rsidR="002424C2" w:rsidRDefault="002424C2" w:rsidP="00E04DFF">
      <w:pPr>
        <w:tabs>
          <w:tab w:val="left" w:pos="384"/>
        </w:tabs>
        <w:rPr>
          <w:rFonts w:ascii="Times New Roman" w:hAnsi="Times New Roman" w:cs="Times New Roman"/>
          <w:b/>
          <w:sz w:val="24"/>
          <w:szCs w:val="24"/>
        </w:rPr>
      </w:pPr>
    </w:p>
    <w:p w:rsidR="00E04DFF"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w:t>
      </w:r>
      <w:r w:rsidR="00B37959">
        <w:rPr>
          <w:rFonts w:ascii="Times New Roman" w:hAnsi="Times New Roman" w:cs="Times New Roman"/>
          <w:b/>
          <w:sz w:val="24"/>
          <w:szCs w:val="24"/>
        </w:rPr>
        <w:t>y</w:t>
      </w:r>
      <w:proofErr w:type="spellEnd"/>
    </w:p>
    <w:p w:rsidR="00EB7307" w:rsidRPr="00270966" w:rsidRDefault="00B37959" w:rsidP="00270966">
      <w:pPr>
        <w:jc w:val="both"/>
        <w:rPr>
          <w:rFonts w:ascii="Times New Roman" w:hAnsi="Times New Roman" w:cs="Times New Roman"/>
          <w:sz w:val="20"/>
          <w:szCs w:val="24"/>
          <w:lang w:val="en-US"/>
        </w:rPr>
      </w:pPr>
      <w:proofErr w:type="spellStart"/>
      <w:r w:rsidRPr="00B37959">
        <w:rPr>
          <w:rFonts w:ascii="Times New Roman" w:hAnsi="Times New Roman" w:cs="Times New Roman"/>
          <w:sz w:val="20"/>
          <w:szCs w:val="24"/>
          <w:lang w:val="en-US"/>
        </w:rPr>
        <w:lastRenderedPageBreak/>
        <w:t>Doaa</w:t>
      </w:r>
      <w:proofErr w:type="spellEnd"/>
      <w:r w:rsidRPr="00B37959">
        <w:rPr>
          <w:rFonts w:ascii="Times New Roman" w:hAnsi="Times New Roman" w:cs="Times New Roman"/>
          <w:sz w:val="20"/>
          <w:szCs w:val="24"/>
          <w:lang w:val="en-US"/>
        </w:rPr>
        <w:t xml:space="preserve"> N. </w:t>
      </w:r>
      <w:proofErr w:type="spellStart"/>
      <w:r w:rsidRPr="00B37959">
        <w:rPr>
          <w:rFonts w:ascii="Times New Roman" w:hAnsi="Times New Roman" w:cs="Times New Roman"/>
          <w:sz w:val="20"/>
          <w:szCs w:val="24"/>
          <w:lang w:val="en-US"/>
        </w:rPr>
        <w:t>Saleh</w:t>
      </w:r>
      <w:proofErr w:type="spellEnd"/>
      <w:r w:rsidR="00270966" w:rsidRPr="00270966">
        <w:rPr>
          <w:rFonts w:ascii="Times New Roman" w:hAnsi="Times New Roman" w:cs="Times New Roman"/>
          <w:sz w:val="20"/>
          <w:szCs w:val="24"/>
          <w:lang w:val="en-US"/>
        </w:rPr>
        <w:t>.</w:t>
      </w:r>
      <w:r>
        <w:rPr>
          <w:rFonts w:ascii="Times New Roman" w:hAnsi="Times New Roman" w:cs="Times New Roman"/>
          <w:sz w:val="20"/>
          <w:szCs w:val="24"/>
          <w:lang w:val="en-US"/>
        </w:rPr>
        <w:t xml:space="preserve"> </w:t>
      </w:r>
      <w:r w:rsidRPr="00B37959">
        <w:rPr>
          <w:rFonts w:ascii="Times New Roman" w:hAnsi="Times New Roman" w:cs="Times New Roman"/>
          <w:sz w:val="20"/>
          <w:szCs w:val="24"/>
          <w:lang w:val="en-US"/>
        </w:rPr>
        <w:t xml:space="preserve">Department of Biochemistry, Faculty of Science, </w:t>
      </w:r>
      <w:proofErr w:type="spellStart"/>
      <w:r w:rsidRPr="00B37959">
        <w:rPr>
          <w:rFonts w:ascii="Times New Roman" w:hAnsi="Times New Roman" w:cs="Times New Roman"/>
          <w:sz w:val="20"/>
          <w:szCs w:val="24"/>
          <w:lang w:val="en-US"/>
        </w:rPr>
        <w:t>Ain</w:t>
      </w:r>
      <w:proofErr w:type="spellEnd"/>
      <w:r w:rsidRPr="00B37959">
        <w:rPr>
          <w:rFonts w:ascii="Times New Roman" w:hAnsi="Times New Roman" w:cs="Times New Roman"/>
          <w:sz w:val="20"/>
          <w:szCs w:val="24"/>
          <w:lang w:val="en-US"/>
        </w:rPr>
        <w:t xml:space="preserve"> Shams University, Cairo, Egypt</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F71A74"/>
    <w:multiLevelType w:val="hybridMultilevel"/>
    <w:tmpl w:val="665C691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424C2"/>
    <w:rsid w:val="00270966"/>
    <w:rsid w:val="003979B5"/>
    <w:rsid w:val="004A6532"/>
    <w:rsid w:val="00524CE0"/>
    <w:rsid w:val="00691AAB"/>
    <w:rsid w:val="007245CF"/>
    <w:rsid w:val="00861368"/>
    <w:rsid w:val="008D2886"/>
    <w:rsid w:val="00A33BCB"/>
    <w:rsid w:val="00AB1CA2"/>
    <w:rsid w:val="00AB22C7"/>
    <w:rsid w:val="00B37959"/>
    <w:rsid w:val="00B82905"/>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omics1</cp:lastModifiedBy>
  <cp:revision>4</cp:revision>
  <dcterms:created xsi:type="dcterms:W3CDTF">2023-01-28T04:34:00Z</dcterms:created>
  <dcterms:modified xsi:type="dcterms:W3CDTF">2023-01-30T05:05:00Z</dcterms:modified>
</cp:coreProperties>
</file>