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D22CF" w14:textId="726419BE" w:rsidR="00AE3E37" w:rsidRDefault="00656AE0" w:rsidP="000534A1">
      <w:pPr>
        <w:pStyle w:val="Heading1"/>
        <w:spacing w:before="170"/>
        <w:ind w:left="0"/>
        <w:jc w:val="both"/>
      </w:pPr>
      <w:r>
        <w:rPr>
          <w:color w:val="337AB7"/>
        </w:rPr>
        <w:t>From development to commercial phase – case study on Ranibizumab biosmilar</w:t>
      </w:r>
    </w:p>
    <w:p w14:paraId="31AD3A51" w14:textId="7EF9ED3A" w:rsidR="005973B9" w:rsidRPr="00656AE0" w:rsidRDefault="00656AE0" w:rsidP="005973B9">
      <w:pPr>
        <w:pStyle w:val="BodyText"/>
        <w:spacing w:before="73" w:line="198" w:lineRule="exact"/>
        <w:ind w:left="100" w:right="5987"/>
        <w:rPr>
          <w:rFonts w:ascii="Arial"/>
          <w:lang w:val="pl-PL"/>
        </w:rPr>
      </w:pPr>
      <w:r w:rsidRPr="00656AE0">
        <w:rPr>
          <w:rFonts w:ascii="Arial"/>
          <w:lang w:val="pl-PL"/>
        </w:rPr>
        <w:t xml:space="preserve">Adriana Kiedzierska-Mencfeld, </w:t>
      </w:r>
      <w:r w:rsidR="005973B9" w:rsidRPr="00656AE0">
        <w:rPr>
          <w:rFonts w:ascii="Arial"/>
          <w:lang w:val="pl-PL"/>
        </w:rPr>
        <w:t xml:space="preserve"> PhD, </w:t>
      </w:r>
      <w:r w:rsidRPr="00656AE0">
        <w:rPr>
          <w:rFonts w:ascii="Arial"/>
          <w:lang w:val="pl-PL"/>
        </w:rPr>
        <w:t>Po</w:t>
      </w:r>
      <w:r>
        <w:rPr>
          <w:rFonts w:ascii="Arial"/>
          <w:lang w:val="pl-PL"/>
        </w:rPr>
        <w:t>lpharma Biologics S.A., Poland</w:t>
      </w:r>
    </w:p>
    <w:p w14:paraId="5DA2FB1C" w14:textId="77777777" w:rsidR="00AE3E37" w:rsidRPr="00656AE0" w:rsidRDefault="00AE3E37">
      <w:pPr>
        <w:pStyle w:val="BodyText"/>
        <w:rPr>
          <w:rFonts w:ascii="Arial"/>
          <w:sz w:val="20"/>
          <w:lang w:val="pl-PL"/>
        </w:rPr>
      </w:pPr>
    </w:p>
    <w:p w14:paraId="5088382A" w14:textId="77777777" w:rsidR="00AE3E37" w:rsidRPr="00656AE0" w:rsidRDefault="00AE3E37">
      <w:pPr>
        <w:rPr>
          <w:rFonts w:ascii="Arial"/>
          <w:sz w:val="21"/>
          <w:lang w:val="pl-PL"/>
        </w:rPr>
        <w:sectPr w:rsidR="00AE3E37" w:rsidRPr="00656AE0" w:rsidSect="008E5477">
          <w:footerReference w:type="default" r:id="rId8"/>
          <w:type w:val="continuous"/>
          <w:pgSz w:w="11910" w:h="16840"/>
          <w:pgMar w:top="995" w:right="600" w:bottom="840" w:left="620" w:header="0" w:footer="0" w:gutter="0"/>
          <w:cols w:space="720"/>
          <w:docGrid w:linePitch="299"/>
        </w:sectPr>
      </w:pPr>
    </w:p>
    <w:p w14:paraId="14DF78AE" w14:textId="77777777" w:rsidR="00AE3E37" w:rsidRDefault="00A9710C" w:rsidP="00AF24F9">
      <w:pPr>
        <w:pStyle w:val="Heading3"/>
        <w:spacing w:before="147"/>
        <w:ind w:left="0"/>
        <w:jc w:val="both"/>
      </w:pPr>
      <w:r>
        <w:rPr>
          <w:color w:val="BF5A14"/>
        </w:rPr>
        <w:lastRenderedPageBreak/>
        <w:t>Abstract</w:t>
      </w:r>
      <w:r w:rsidR="00404E5B">
        <w:rPr>
          <w:color w:val="BF5A14"/>
        </w:rPr>
        <w:t xml:space="preserve"> (300 word limit)</w:t>
      </w:r>
    </w:p>
    <w:p w14:paraId="4046AF4A" w14:textId="4074A9A5" w:rsidR="00B76712" w:rsidRPr="00C32A3E" w:rsidRDefault="00B76712" w:rsidP="00B76712">
      <w:pPr>
        <w:spacing w:after="160" w:line="259" w:lineRule="auto"/>
        <w:jc w:val="both"/>
      </w:pPr>
      <w:r>
        <w:t>Approval of FYB201- ranibizumab product (Lucentis</w:t>
      </w:r>
      <w:r w:rsidRPr="00C27C6E">
        <w:t xml:space="preserve"> </w:t>
      </w:r>
      <w:r>
        <w:t xml:space="preserve">biosimilar) is key milestone for Polpharma Biologics, which </w:t>
      </w:r>
      <w:r w:rsidRPr="00D4182A">
        <w:t>is an international biotechnology company with integrated operations in the European Union (EU), developing and manufacturing biosimilar medicines. Using state-of-the-art platform technologies, Polpharma Biologics develops biosimilar products to treat a range of conditions in major therapeutic areas. Programs at Polpharma Biologics start in cell line development and transition through technical and clinical development to commercial-scale production, preparing drugs for future commercial partnerships with global pharmaceutical organizations. The company pipeline contains more than six biosimilars in different stages</w:t>
      </w:r>
      <w:r>
        <w:t xml:space="preserve">. </w:t>
      </w:r>
      <w:r w:rsidRPr="00C32A3E">
        <w:t xml:space="preserve">FYB201 was developed by Bioeq, a Joint Venture between Polpharma Biologics and Formycon. </w:t>
      </w:r>
      <w:r w:rsidRPr="00DA604A">
        <w:t>The production of biosimilars is a process with high levels of scientific rigor and the approval of</w:t>
      </w:r>
      <w:r>
        <w:t xml:space="preserve"> FYB201 </w:t>
      </w:r>
      <w:r w:rsidRPr="00DA604A">
        <w:t xml:space="preserve"> </w:t>
      </w:r>
      <w:r>
        <w:t>(</w:t>
      </w:r>
      <w:r w:rsidRPr="00DA604A">
        <w:t>Ranivisio</w:t>
      </w:r>
      <w:r w:rsidRPr="00DA604A">
        <w:rPr>
          <w:vertAlign w:val="superscript"/>
        </w:rPr>
        <w:t>®</w:t>
      </w:r>
      <w:r w:rsidRPr="00DA604A">
        <w:t> </w:t>
      </w:r>
      <w:r>
        <w:t xml:space="preserve">, </w:t>
      </w:r>
      <w:r w:rsidRPr="00C27C6E">
        <w:rPr>
          <w:rStyle w:val="normaltextrun"/>
          <w:rFonts w:asciiTheme="minorHAnsi" w:hAnsiTheme="minorHAnsi" w:cstheme="minorHAnsi"/>
          <w:color w:val="000000"/>
          <w:lang w:eastAsia="pl-PL"/>
        </w:rPr>
        <w:t>CIMERLI™</w:t>
      </w:r>
      <w:r w:rsidRPr="00C27C6E">
        <w:rPr>
          <w:rStyle w:val="normaltextrun"/>
          <w:rFonts w:asciiTheme="minorHAnsi" w:hAnsiTheme="minorHAnsi" w:cstheme="minorHAnsi"/>
          <w:color w:val="000000"/>
          <w:sz w:val="28"/>
          <w:szCs w:val="28"/>
          <w:lang w:eastAsia="pl-PL"/>
        </w:rPr>
        <w:t xml:space="preserve"> </w:t>
      </w:r>
      <w:r w:rsidRPr="00C27C6E">
        <w:rPr>
          <w:rStyle w:val="normaltextrun"/>
          <w:rFonts w:asciiTheme="minorHAnsi" w:hAnsiTheme="minorHAnsi" w:cstheme="minorHAnsi"/>
          <w:color w:val="000000"/>
          <w:lang w:eastAsia="pl-PL"/>
        </w:rPr>
        <w:t xml:space="preserve">(ranibizumab-eqrn), </w:t>
      </w:r>
      <w:r w:rsidRPr="00DA604A">
        <w:t>is the culmination of years of dedication by Polpharma Biologics</w:t>
      </w:r>
      <w:r>
        <w:t xml:space="preserve">. Starting from technology transfer and process optimization, method transfer and than process validation, Polpharma Biologics actively participated in development of ranibizumab biosimilar. Currently being commercial manufacturer of drug substance ranibizumab, experienced transformation from development to commercial organization. FYB201  </w:t>
      </w:r>
      <w:r w:rsidRPr="00031C06">
        <w:t>is highly similar to the reference product Lucentis</w:t>
      </w:r>
      <w:r w:rsidRPr="00031C06">
        <w:rPr>
          <w:vertAlign w:val="superscript"/>
        </w:rPr>
        <w:t>®</w:t>
      </w:r>
      <w:r w:rsidRPr="00031C06">
        <w:t> in terms of comparable efficacy, safety, pharmacokinetics and immunogenicity in patients with age-related neovascular (wet) macular degeneration.</w:t>
      </w:r>
      <w:r>
        <w:rPr>
          <w:vertAlign w:val="superscript"/>
        </w:rPr>
        <w:t xml:space="preserve"> </w:t>
      </w:r>
      <w:r w:rsidRPr="00D55441">
        <w:t xml:space="preserve">FDA-approval and interchangeability designation are based on a totality of evidence including analytical, nonclinical, clinical and manufacturing data. </w:t>
      </w:r>
      <w:r>
        <w:t xml:space="preserve">Manufacturing of product for various </w:t>
      </w:r>
      <w:r>
        <w:lastRenderedPageBreak/>
        <w:t xml:space="preserve">markets (e.g UK, US, Europe) requires expertise in many areas, high level of GMP awareness and quality culture. </w:t>
      </w:r>
    </w:p>
    <w:p w14:paraId="16ACDC57" w14:textId="1A97642B" w:rsidR="005973B9" w:rsidRDefault="005973B9" w:rsidP="005973B9">
      <w:pPr>
        <w:spacing w:line="204" w:lineRule="exact"/>
        <w:rPr>
          <w:rFonts w:ascii="Arial"/>
          <w:b/>
          <w:sz w:val="20"/>
        </w:rPr>
      </w:pPr>
      <w:r>
        <w:rPr>
          <w:rFonts w:ascii="Arial"/>
          <w:b/>
          <w:color w:val="BF5A14"/>
          <w:sz w:val="20"/>
        </w:rPr>
        <w:t>Recent Publications (minimum 5)</w:t>
      </w:r>
    </w:p>
    <w:p w14:paraId="644A097B" w14:textId="55D1E36A" w:rsidR="00195E7F" w:rsidRPr="00195E7F" w:rsidRDefault="00A72C6C" w:rsidP="00195E7F">
      <w:pPr>
        <w:tabs>
          <w:tab w:val="left" w:pos="384"/>
        </w:tabs>
        <w:ind w:right="117"/>
      </w:pPr>
      <w:r>
        <w:t>1.</w:t>
      </w:r>
      <w:r w:rsidR="00195E7F" w:rsidRPr="00195E7F">
        <w:t>BioProduction Congress, October 2017 – “Implementation of Disposables in Mammalian</w:t>
      </w:r>
    </w:p>
    <w:p w14:paraId="075AA607" w14:textId="77777777" w:rsidR="00195E7F" w:rsidRPr="00195E7F" w:rsidRDefault="00195E7F" w:rsidP="00195E7F">
      <w:pPr>
        <w:tabs>
          <w:tab w:val="left" w:pos="384"/>
        </w:tabs>
        <w:ind w:right="117"/>
      </w:pPr>
      <w:r w:rsidRPr="00195E7F">
        <w:t>Production and Adaptation for Application in Microbial Production”</w:t>
      </w:r>
    </w:p>
    <w:p w14:paraId="3BA01510" w14:textId="06BEEE75" w:rsidR="00195E7F" w:rsidRPr="00195E7F" w:rsidRDefault="00A72C6C" w:rsidP="00195E7F">
      <w:pPr>
        <w:tabs>
          <w:tab w:val="left" w:pos="384"/>
        </w:tabs>
        <w:ind w:right="117"/>
      </w:pPr>
      <w:r>
        <w:t xml:space="preserve">2. </w:t>
      </w:r>
      <w:r w:rsidR="00195E7F" w:rsidRPr="00195E7F">
        <w:t>Finesse CellWorld 2017, April 2017 – “Disposable technology in manufacturing of</w:t>
      </w:r>
    </w:p>
    <w:p w14:paraId="0754DB56" w14:textId="77777777" w:rsidR="00195E7F" w:rsidRPr="00195E7F" w:rsidRDefault="00195E7F" w:rsidP="00195E7F">
      <w:pPr>
        <w:tabs>
          <w:tab w:val="left" w:pos="384"/>
        </w:tabs>
        <w:ind w:right="117"/>
      </w:pPr>
      <w:r w:rsidRPr="00195E7F">
        <w:t>biosimilar monoclonal antibodies”</w:t>
      </w:r>
    </w:p>
    <w:p w14:paraId="5D6F2185" w14:textId="2179707D" w:rsidR="00195E7F" w:rsidRPr="00195E7F" w:rsidRDefault="00D1250C" w:rsidP="00195E7F">
      <w:pPr>
        <w:tabs>
          <w:tab w:val="left" w:pos="384"/>
        </w:tabs>
        <w:ind w:right="117"/>
      </w:pPr>
      <w:r>
        <w:t xml:space="preserve">3. </w:t>
      </w:r>
      <w:r w:rsidR="00195E7F" w:rsidRPr="00195E7F">
        <w:t>European Biotechnology, March 2017- “Why single use?”, Cyranka-Czaja A., Kiędzierska-</w:t>
      </w:r>
    </w:p>
    <w:p w14:paraId="0B65DCC3" w14:textId="77777777" w:rsidR="00195E7F" w:rsidRPr="00195E7F" w:rsidRDefault="00195E7F" w:rsidP="00195E7F">
      <w:pPr>
        <w:tabs>
          <w:tab w:val="left" w:pos="384"/>
        </w:tabs>
        <w:ind w:right="117"/>
      </w:pPr>
      <w:r w:rsidRPr="00195E7F">
        <w:t>Mencfeld A.</w:t>
      </w:r>
    </w:p>
    <w:p w14:paraId="5DD2D877" w14:textId="56C2985B" w:rsidR="00195E7F" w:rsidRPr="00195E7F" w:rsidRDefault="00D1250C" w:rsidP="00195E7F">
      <w:pPr>
        <w:tabs>
          <w:tab w:val="left" w:pos="384"/>
        </w:tabs>
        <w:ind w:right="117"/>
      </w:pPr>
      <w:r>
        <w:t>4.</w:t>
      </w:r>
      <w:r w:rsidR="00195E7F" w:rsidRPr="00195E7F">
        <w:t xml:space="preserve"> IQPC Disposable solutions for Biomanufacturing conference, 27-28.02.2017- “Case study:</w:t>
      </w:r>
    </w:p>
    <w:p w14:paraId="7CC72CD6" w14:textId="77777777" w:rsidR="00195E7F" w:rsidRPr="00195E7F" w:rsidRDefault="00195E7F" w:rsidP="00195E7F">
      <w:pPr>
        <w:tabs>
          <w:tab w:val="left" w:pos="384"/>
        </w:tabs>
        <w:ind w:right="117"/>
      </w:pPr>
      <w:r w:rsidRPr="00195E7F">
        <w:t>Implementation of Disposables/Single Use Systems for Mammalian and Microbial</w:t>
      </w:r>
    </w:p>
    <w:p w14:paraId="00100542" w14:textId="77777777" w:rsidR="00195E7F" w:rsidRPr="00195E7F" w:rsidRDefault="00195E7F" w:rsidP="00195E7F">
      <w:pPr>
        <w:tabs>
          <w:tab w:val="left" w:pos="384"/>
        </w:tabs>
        <w:ind w:right="117"/>
      </w:pPr>
      <w:r w:rsidRPr="00195E7F">
        <w:t>Production of Therapeutic Proteins for Drug Substance and Drug Product”</w:t>
      </w:r>
    </w:p>
    <w:p w14:paraId="66640E6F" w14:textId="736A9355" w:rsidR="00195E7F" w:rsidRPr="00195E7F" w:rsidRDefault="00D1250C" w:rsidP="00195E7F">
      <w:pPr>
        <w:tabs>
          <w:tab w:val="left" w:pos="384"/>
        </w:tabs>
        <w:ind w:right="117"/>
      </w:pPr>
      <w:r>
        <w:t xml:space="preserve">5. </w:t>
      </w:r>
      <w:r w:rsidR="00195E7F" w:rsidRPr="00195E7F">
        <w:t>9. th European Downstream Technology Forum, September 10-11, 2013 - “Biosimilar’s</w:t>
      </w:r>
    </w:p>
    <w:p w14:paraId="278AB15A" w14:textId="77777777" w:rsidR="00195E7F" w:rsidRPr="00195E7F" w:rsidRDefault="00195E7F" w:rsidP="00195E7F">
      <w:pPr>
        <w:tabs>
          <w:tab w:val="left" w:pos="384"/>
        </w:tabs>
        <w:ind w:right="117"/>
      </w:pPr>
      <w:r w:rsidRPr="00195E7F">
        <w:t>Manufacturer Example of a Single-use GMP Downstream Process”</w:t>
      </w:r>
    </w:p>
    <w:p w14:paraId="0EC29D9E" w14:textId="23B07AD5" w:rsidR="00195E7F" w:rsidRPr="00195E7F" w:rsidRDefault="00D1250C" w:rsidP="00195E7F">
      <w:pPr>
        <w:tabs>
          <w:tab w:val="left" w:pos="384"/>
        </w:tabs>
        <w:ind w:right="117"/>
      </w:pPr>
      <w:r>
        <w:t xml:space="preserve">6. </w:t>
      </w:r>
      <w:r w:rsidR="00195E7F" w:rsidRPr="00195E7F">
        <w:t>Protein Expression and Purification, 2008 July - “Expression, purification and</w:t>
      </w:r>
    </w:p>
    <w:p w14:paraId="47DF6B14" w14:textId="23EB71E6" w:rsidR="00195E7F" w:rsidRPr="00195E7F" w:rsidRDefault="00195E7F" w:rsidP="00195E7F">
      <w:pPr>
        <w:tabs>
          <w:tab w:val="left" w:pos="384"/>
        </w:tabs>
        <w:ind w:right="117"/>
      </w:pPr>
      <w:r w:rsidRPr="00195E7F">
        <w:t xml:space="preserve">crystallization of cysteine-rich human protein muskelin in </w:t>
      </w:r>
      <w:r w:rsidRPr="00195E7F">
        <w:rPr>
          <w:i/>
          <w:iCs/>
        </w:rPr>
        <w:t xml:space="preserve">Escherichia coli” </w:t>
      </w:r>
      <w:r w:rsidRPr="00195E7F">
        <w:t>Kiedzierska A,</w:t>
      </w:r>
      <w:r w:rsidR="00A72C6C">
        <w:t xml:space="preserve"> </w:t>
      </w:r>
      <w:r w:rsidRPr="00195E7F">
        <w:t>Czepczynska H, Smietana K, Otlewski J.</w:t>
      </w:r>
    </w:p>
    <w:p w14:paraId="611BB541" w14:textId="581365BF" w:rsidR="00195E7F" w:rsidRPr="00195E7F" w:rsidRDefault="00D1250C" w:rsidP="00195E7F">
      <w:pPr>
        <w:tabs>
          <w:tab w:val="left" w:pos="384"/>
        </w:tabs>
        <w:ind w:right="117"/>
      </w:pPr>
      <w:r>
        <w:t xml:space="preserve">7. </w:t>
      </w:r>
      <w:r w:rsidR="00195E7F" w:rsidRPr="00195E7F">
        <w:t>Biochimica et Biophysica Acta, 2007 September - “Structural similarities and functional</w:t>
      </w:r>
    </w:p>
    <w:p w14:paraId="7F057A64" w14:textId="77777777" w:rsidR="00195E7F" w:rsidRPr="00195E7F" w:rsidRDefault="00195E7F" w:rsidP="00195E7F">
      <w:pPr>
        <w:tabs>
          <w:tab w:val="left" w:pos="384"/>
        </w:tabs>
        <w:ind w:right="117"/>
      </w:pPr>
      <w:r w:rsidRPr="00195E7F">
        <w:t>diversity of eukaryotic discoidin-like domains” Kiedzierska A, Smietana K, Czepczynska H,</w:t>
      </w:r>
    </w:p>
    <w:p w14:paraId="1035513B" w14:textId="77777777" w:rsidR="00195E7F" w:rsidRPr="00195E7F" w:rsidRDefault="00195E7F" w:rsidP="00195E7F">
      <w:pPr>
        <w:tabs>
          <w:tab w:val="left" w:pos="384"/>
        </w:tabs>
        <w:ind w:right="117"/>
      </w:pPr>
      <w:r w:rsidRPr="00195E7F">
        <w:t>Otlewski J.</w:t>
      </w:r>
    </w:p>
    <w:p w14:paraId="27994309" w14:textId="3DAD6EFC" w:rsidR="002B49CF" w:rsidRDefault="002B49CF" w:rsidP="008756E6">
      <w:pPr>
        <w:tabs>
          <w:tab w:val="left" w:pos="384"/>
        </w:tabs>
        <w:ind w:right="117"/>
      </w:pPr>
    </w:p>
    <w:p w14:paraId="3CA6B9A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32D9D5A" w14:textId="77777777" w:rsidR="00AE3E37" w:rsidRDefault="00AE3E37">
      <w:pPr>
        <w:pStyle w:val="BodyText"/>
        <w:rPr>
          <w:rFonts w:ascii="Calibri"/>
          <w:sz w:val="20"/>
        </w:rPr>
      </w:pPr>
    </w:p>
    <w:p w14:paraId="67FA636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1861B4B" wp14:editId="10D1C0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F16F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205580" w14:textId="77777777" w:rsidR="00132823" w:rsidRDefault="00A52075" w:rsidP="00552819">
      <w:pPr>
        <w:spacing w:before="92"/>
        <w:ind w:right="4234"/>
        <w:jc w:val="both"/>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9C06D5D" wp14:editId="46305D3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362125" w14:textId="727DAB96" w:rsidR="00B571B6" w:rsidRDefault="00B571B6" w:rsidP="00A52075">
                            <w:r w:rsidRPr="00B571B6">
                              <w:rPr>
                                <w:noProof/>
                              </w:rPr>
                              <w:drawing>
                                <wp:inline distT="0" distB="0" distL="0" distR="0" wp14:anchorId="5A2C90ED" wp14:editId="7AC0C29D">
                                  <wp:extent cx="741045" cy="381000"/>
                                  <wp:effectExtent l="0" t="0" r="1905" b="0"/>
                                  <wp:docPr id="6" name="Obraz 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rotWithShape="1">
                                          <a:blip r:embed="rId9"/>
                                          <a:srcRect t="17160" b="25596"/>
                                          <a:stretch/>
                                        </pic:blipFill>
                                        <pic:spPr bwMode="auto">
                                          <a:xfrm>
                                            <a:off x="0" y="0"/>
                                            <a:ext cx="741680" cy="381326"/>
                                          </a:xfrm>
                                          <a:prstGeom prst="rect">
                                            <a:avLst/>
                                          </a:prstGeom>
                                          <a:ln>
                                            <a:noFill/>
                                          </a:ln>
                                          <a:extLst>
                                            <a:ext uri="{53640926-AAD7-44D8-BBD7-CCE9431645EC}">
                                              <a14:shadowObscured xmlns:a14="http://schemas.microsoft.com/office/drawing/2010/main"/>
                                            </a:ext>
                                          </a:extLst>
                                        </pic:spPr>
                                      </pic:pic>
                                    </a:graphicData>
                                  </a:graphic>
                                </wp:inline>
                              </w:drawing>
                            </w:r>
                          </w:p>
                          <w:p w14:paraId="484C2425" w14:textId="1D1D5C6D"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9C06D5D" id="Rounded Rectangle 2" o:spid="_x0000_s1026" style="position:absolute;left:0;text-align:left;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7362125" w14:textId="727DAB96" w:rsidR="00B571B6" w:rsidRDefault="00B571B6" w:rsidP="00A52075">
                      <w:r w:rsidRPr="00B571B6">
                        <w:drawing>
                          <wp:inline distT="0" distB="0" distL="0" distR="0" wp14:anchorId="5A2C90ED" wp14:editId="7AC0C29D">
                            <wp:extent cx="741045" cy="381000"/>
                            <wp:effectExtent l="0" t="0" r="1905" b="0"/>
                            <wp:docPr id="6" name="Obraz 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rotWithShape="1">
                                    <a:blip r:embed="rId10"/>
                                    <a:srcRect t="17160" b="25596"/>
                                    <a:stretch/>
                                  </pic:blipFill>
                                  <pic:spPr bwMode="auto">
                                    <a:xfrm>
                                      <a:off x="0" y="0"/>
                                      <a:ext cx="741680" cy="381326"/>
                                    </a:xfrm>
                                    <a:prstGeom prst="rect">
                                      <a:avLst/>
                                    </a:prstGeom>
                                    <a:ln>
                                      <a:noFill/>
                                    </a:ln>
                                    <a:extLst>
                                      <a:ext uri="{53640926-AAD7-44D8-BBD7-CCE9431645EC}">
                                        <a14:shadowObscured xmlns:a14="http://schemas.microsoft.com/office/drawing/2010/main"/>
                                      </a:ext>
                                    </a:extLst>
                                  </pic:spPr>
                                </pic:pic>
                              </a:graphicData>
                            </a:graphic>
                          </wp:inline>
                        </w:drawing>
                      </w:r>
                    </w:p>
                    <w:p w14:paraId="484C2425" w14:textId="1D1D5C6D"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9B3D15">
        <w:rPr>
          <w:noProof/>
        </w:rPr>
        <w:drawing>
          <wp:inline distT="0" distB="0" distL="0" distR="0" wp14:anchorId="02817B73" wp14:editId="5DC0EA3E">
            <wp:extent cx="772111" cy="754257"/>
            <wp:effectExtent l="0" t="0" r="9525" b="8255"/>
            <wp:docPr id="4" name="Obraz 4" descr="Obraz zawierający osob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osoba&#10;&#10;Opis wygenerowany automatyczni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105" t="10228" r="5595" b="330"/>
                    <a:stretch/>
                  </pic:blipFill>
                  <pic:spPr bwMode="auto">
                    <a:xfrm>
                      <a:off x="0" y="0"/>
                      <a:ext cx="786324" cy="768141"/>
                    </a:xfrm>
                    <a:prstGeom prst="rect">
                      <a:avLst/>
                    </a:prstGeom>
                    <a:noFill/>
                    <a:ln>
                      <a:noFill/>
                    </a:ln>
                    <a:extLst>
                      <a:ext uri="{53640926-AAD7-44D8-BBD7-CCE9431645EC}">
                        <a14:shadowObscured xmlns:a14="http://schemas.microsoft.com/office/drawing/2010/main"/>
                      </a:ext>
                    </a:extLst>
                  </pic:spPr>
                </pic:pic>
              </a:graphicData>
            </a:graphic>
          </wp:inline>
        </w:drawing>
      </w:r>
    </w:p>
    <w:p w14:paraId="0BC555B8" w14:textId="677CCE83" w:rsidR="00AE3E37" w:rsidRDefault="00A9710C" w:rsidP="00552819">
      <w:pPr>
        <w:spacing w:before="92"/>
        <w:ind w:right="4234"/>
        <w:jc w:val="both"/>
        <w:rPr>
          <w:rFonts w:ascii="Arial"/>
        </w:rPr>
      </w:pPr>
      <w:bookmarkStart w:id="0" w:name="_GoBack"/>
      <w:bookmarkEnd w:id="0"/>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633B8A36" w14:textId="636D4A5B" w:rsidR="00C55A44" w:rsidRPr="008D4CC4" w:rsidRDefault="00AC6CAB" w:rsidP="00552819">
      <w:pPr>
        <w:spacing w:after="160" w:line="259" w:lineRule="auto"/>
        <w:jc w:val="both"/>
      </w:pPr>
      <w:r w:rsidRPr="00C55A44">
        <w:rPr>
          <w:rFonts w:ascii="Arial"/>
          <w:sz w:val="14"/>
        </w:rPr>
        <w:t>Adriana Kiedzier</w:t>
      </w:r>
      <w:r w:rsidR="00ED4A70">
        <w:rPr>
          <w:rFonts w:ascii="Arial"/>
          <w:sz w:val="14"/>
        </w:rPr>
        <w:t>s</w:t>
      </w:r>
      <w:r w:rsidRPr="00C55A44">
        <w:rPr>
          <w:rFonts w:ascii="Arial"/>
          <w:sz w:val="14"/>
        </w:rPr>
        <w:t>ka-</w:t>
      </w:r>
      <w:r w:rsidRPr="00C55A44">
        <w:rPr>
          <w:rFonts w:ascii="Arial" w:hAnsi="Arial" w:cs="Arial"/>
          <w:sz w:val="14"/>
          <w:szCs w:val="14"/>
        </w:rPr>
        <w:t>Mencfeld</w:t>
      </w:r>
      <w:r w:rsidR="00276B94">
        <w:rPr>
          <w:rFonts w:ascii="Arial" w:hAnsi="Arial" w:cs="Arial"/>
          <w:sz w:val="14"/>
          <w:szCs w:val="14"/>
        </w:rPr>
        <w:t xml:space="preserve"> has more than 15 </w:t>
      </w:r>
      <w:r w:rsidR="00ED4A70">
        <w:rPr>
          <w:rFonts w:ascii="Arial" w:hAnsi="Arial" w:cs="Arial"/>
          <w:sz w:val="14"/>
          <w:szCs w:val="14"/>
        </w:rPr>
        <w:t>years’ experience</w:t>
      </w:r>
      <w:r w:rsidR="00276B94">
        <w:rPr>
          <w:rFonts w:ascii="Arial" w:hAnsi="Arial" w:cs="Arial"/>
          <w:sz w:val="14"/>
          <w:szCs w:val="14"/>
        </w:rPr>
        <w:t xml:space="preserve"> in recombinant protein chemistry</w:t>
      </w:r>
      <w:r w:rsidR="006D5A59">
        <w:rPr>
          <w:rFonts w:ascii="Arial" w:hAnsi="Arial" w:cs="Arial"/>
          <w:sz w:val="14"/>
          <w:szCs w:val="14"/>
        </w:rPr>
        <w:t xml:space="preserve"> and over</w:t>
      </w:r>
      <w:r w:rsidR="00276B94">
        <w:rPr>
          <w:rFonts w:ascii="Arial" w:hAnsi="Arial" w:cs="Arial"/>
          <w:sz w:val="14"/>
          <w:szCs w:val="14"/>
        </w:rPr>
        <w:t xml:space="preserve"> 10 </w:t>
      </w:r>
      <w:r w:rsidR="003A3B11">
        <w:rPr>
          <w:rFonts w:ascii="Arial" w:hAnsi="Arial" w:cs="Arial"/>
          <w:sz w:val="14"/>
          <w:szCs w:val="14"/>
        </w:rPr>
        <w:t>years’ experience</w:t>
      </w:r>
      <w:r w:rsidR="00276B94">
        <w:rPr>
          <w:rFonts w:ascii="Arial" w:hAnsi="Arial" w:cs="Arial"/>
          <w:sz w:val="14"/>
          <w:szCs w:val="14"/>
        </w:rPr>
        <w:t xml:space="preserve"> in </w:t>
      </w:r>
      <w:r w:rsidR="006D5A59">
        <w:rPr>
          <w:rFonts w:ascii="Arial" w:hAnsi="Arial" w:cs="Arial"/>
          <w:sz w:val="14"/>
          <w:szCs w:val="14"/>
        </w:rPr>
        <w:t>biosimilars</w:t>
      </w:r>
      <w:r w:rsidR="00276B94">
        <w:rPr>
          <w:rFonts w:ascii="Arial" w:hAnsi="Arial" w:cs="Arial"/>
          <w:sz w:val="14"/>
          <w:szCs w:val="14"/>
        </w:rPr>
        <w:t xml:space="preserve"> development and manufacturing.</w:t>
      </w:r>
      <w:r w:rsidR="006D5A59">
        <w:rPr>
          <w:rFonts w:ascii="Arial" w:hAnsi="Arial" w:cs="Arial"/>
          <w:sz w:val="14"/>
          <w:szCs w:val="14"/>
        </w:rPr>
        <w:t xml:space="preserve"> W</w:t>
      </w:r>
      <w:r w:rsidR="006D5A59" w:rsidRPr="00C55A44">
        <w:rPr>
          <w:rFonts w:ascii="Arial" w:hAnsi="Arial" w:cs="Arial"/>
          <w:sz w:val="14"/>
          <w:szCs w:val="14"/>
          <w:lang w:val="en"/>
        </w:rPr>
        <w:t>orking</w:t>
      </w:r>
      <w:r w:rsidR="00C55A44" w:rsidRPr="00C55A44">
        <w:rPr>
          <w:rFonts w:ascii="Arial" w:hAnsi="Arial" w:cs="Arial"/>
          <w:sz w:val="14"/>
          <w:szCs w:val="14"/>
          <w:lang w:val="en"/>
        </w:rPr>
        <w:t xml:space="preserve"> </w:t>
      </w:r>
      <w:r w:rsidR="006D5A59">
        <w:rPr>
          <w:rFonts w:ascii="Arial" w:hAnsi="Arial" w:cs="Arial"/>
          <w:sz w:val="14"/>
          <w:szCs w:val="14"/>
          <w:lang w:val="en"/>
        </w:rPr>
        <w:t>in</w:t>
      </w:r>
      <w:r w:rsidR="00C55A44" w:rsidRPr="00C55A44">
        <w:rPr>
          <w:rFonts w:ascii="Arial" w:hAnsi="Arial" w:cs="Arial"/>
          <w:sz w:val="14"/>
          <w:szCs w:val="14"/>
          <w:lang w:val="en"/>
        </w:rPr>
        <w:t xml:space="preserve"> Polpharma Biologics S.A. for over 8 years </w:t>
      </w:r>
      <w:r w:rsidR="006D5A59">
        <w:rPr>
          <w:rFonts w:ascii="Arial" w:hAnsi="Arial" w:cs="Arial"/>
          <w:sz w:val="14"/>
          <w:szCs w:val="14"/>
          <w:lang w:val="en"/>
        </w:rPr>
        <w:t>she has actively</w:t>
      </w:r>
      <w:r w:rsidR="00C55A44" w:rsidRPr="00C55A44">
        <w:rPr>
          <w:rFonts w:ascii="Arial" w:hAnsi="Arial" w:cs="Arial"/>
          <w:sz w:val="14"/>
          <w:szCs w:val="14"/>
          <w:lang w:val="en"/>
        </w:rPr>
        <w:t xml:space="preserve"> participat</w:t>
      </w:r>
      <w:r w:rsidR="006D5A59">
        <w:rPr>
          <w:rFonts w:ascii="Arial" w:hAnsi="Arial" w:cs="Arial"/>
          <w:sz w:val="14"/>
          <w:szCs w:val="14"/>
          <w:lang w:val="en"/>
        </w:rPr>
        <w:t>ed</w:t>
      </w:r>
      <w:r w:rsidR="00C55A44">
        <w:rPr>
          <w:rFonts w:ascii="Arial" w:hAnsi="Arial" w:cs="Arial"/>
          <w:sz w:val="14"/>
          <w:szCs w:val="14"/>
          <w:lang w:val="en"/>
        </w:rPr>
        <w:t xml:space="preserve"> </w:t>
      </w:r>
      <w:r w:rsidR="00C55A44" w:rsidRPr="00C55A44">
        <w:rPr>
          <w:rFonts w:ascii="Arial" w:hAnsi="Arial" w:cs="Arial"/>
          <w:sz w:val="14"/>
          <w:szCs w:val="14"/>
          <w:lang w:val="en"/>
        </w:rPr>
        <w:t>in development of biosimilars</w:t>
      </w:r>
      <w:r w:rsidR="00130BA9">
        <w:rPr>
          <w:rFonts w:ascii="Arial" w:hAnsi="Arial" w:cs="Arial"/>
          <w:sz w:val="14"/>
          <w:szCs w:val="14"/>
          <w:lang w:val="en"/>
        </w:rPr>
        <w:t xml:space="preserve">. </w:t>
      </w:r>
      <w:r w:rsidR="0069164A">
        <w:rPr>
          <w:rFonts w:ascii="Arial" w:hAnsi="Arial" w:cs="Arial"/>
          <w:sz w:val="14"/>
          <w:szCs w:val="14"/>
          <w:lang w:val="en"/>
        </w:rPr>
        <w:t>Her carrier in Biosmilars</w:t>
      </w:r>
      <w:r w:rsidR="00996EA3">
        <w:rPr>
          <w:rFonts w:ascii="Arial" w:hAnsi="Arial" w:cs="Arial"/>
          <w:sz w:val="14"/>
          <w:szCs w:val="14"/>
          <w:lang w:val="en"/>
        </w:rPr>
        <w:t xml:space="preserve"> she</w:t>
      </w:r>
      <w:r w:rsidR="00CF7E5D">
        <w:rPr>
          <w:rFonts w:ascii="Arial" w:hAnsi="Arial" w:cs="Arial"/>
          <w:sz w:val="14"/>
          <w:szCs w:val="14"/>
          <w:lang w:val="en"/>
        </w:rPr>
        <w:t xml:space="preserve"> </w:t>
      </w:r>
      <w:r w:rsidR="00C55A44" w:rsidRPr="00C55A44">
        <w:rPr>
          <w:rFonts w:ascii="Arial" w:hAnsi="Arial" w:cs="Arial"/>
          <w:sz w:val="14"/>
          <w:szCs w:val="14"/>
          <w:lang w:val="en"/>
        </w:rPr>
        <w:t>start</w:t>
      </w:r>
      <w:r w:rsidR="00996EA3">
        <w:rPr>
          <w:rFonts w:ascii="Arial" w:hAnsi="Arial" w:cs="Arial"/>
          <w:sz w:val="14"/>
          <w:szCs w:val="14"/>
          <w:lang w:val="en"/>
        </w:rPr>
        <w:t>e</w:t>
      </w:r>
      <w:r w:rsidR="001217C0">
        <w:rPr>
          <w:rFonts w:ascii="Arial" w:hAnsi="Arial" w:cs="Arial"/>
          <w:sz w:val="14"/>
          <w:szCs w:val="14"/>
          <w:lang w:val="en"/>
        </w:rPr>
        <w:t>d</w:t>
      </w:r>
      <w:r w:rsidR="00C55A44" w:rsidRPr="00C55A44">
        <w:rPr>
          <w:rFonts w:ascii="Arial" w:hAnsi="Arial" w:cs="Arial"/>
          <w:sz w:val="14"/>
          <w:szCs w:val="14"/>
          <w:lang w:val="en"/>
        </w:rPr>
        <w:t xml:space="preserve"> from development </w:t>
      </w:r>
      <w:r w:rsidR="00996EA3">
        <w:rPr>
          <w:rFonts w:ascii="Arial" w:hAnsi="Arial" w:cs="Arial"/>
          <w:sz w:val="14"/>
          <w:szCs w:val="14"/>
          <w:lang w:val="en"/>
        </w:rPr>
        <w:t>than moving into</w:t>
      </w:r>
      <w:r w:rsidR="00C55A44" w:rsidRPr="00C55A44">
        <w:rPr>
          <w:rFonts w:ascii="Arial" w:hAnsi="Arial" w:cs="Arial"/>
          <w:sz w:val="14"/>
          <w:szCs w:val="14"/>
          <w:lang w:val="en"/>
        </w:rPr>
        <w:t xml:space="preserve"> production </w:t>
      </w:r>
      <w:r w:rsidR="00996EA3">
        <w:rPr>
          <w:rFonts w:ascii="Arial" w:hAnsi="Arial" w:cs="Arial"/>
          <w:sz w:val="14"/>
          <w:szCs w:val="14"/>
          <w:lang w:val="en"/>
        </w:rPr>
        <w:t xml:space="preserve">for </w:t>
      </w:r>
      <w:r w:rsidR="00C55A44" w:rsidRPr="00C55A44">
        <w:rPr>
          <w:rFonts w:ascii="Arial" w:hAnsi="Arial" w:cs="Arial"/>
          <w:sz w:val="14"/>
          <w:szCs w:val="14"/>
          <w:lang w:val="en"/>
        </w:rPr>
        <w:t xml:space="preserve">clinical trials, and currently </w:t>
      </w:r>
      <w:r w:rsidR="00ED4A70">
        <w:rPr>
          <w:rFonts w:ascii="Arial" w:hAnsi="Arial" w:cs="Arial"/>
          <w:sz w:val="14"/>
          <w:szCs w:val="14"/>
          <w:lang w:val="en"/>
        </w:rPr>
        <w:t>being in</w:t>
      </w:r>
      <w:r w:rsidR="00C55A44" w:rsidRPr="00C55A44">
        <w:rPr>
          <w:rFonts w:ascii="Arial" w:hAnsi="Arial" w:cs="Arial"/>
          <w:sz w:val="14"/>
          <w:szCs w:val="14"/>
          <w:lang w:val="en"/>
        </w:rPr>
        <w:t xml:space="preserve"> commercial phase. </w:t>
      </w:r>
      <w:r w:rsidR="00ED4A70">
        <w:rPr>
          <w:rFonts w:ascii="Arial" w:hAnsi="Arial" w:cs="Arial"/>
          <w:sz w:val="14"/>
          <w:szCs w:val="14"/>
          <w:lang w:val="en"/>
        </w:rPr>
        <w:t xml:space="preserve">As a </w:t>
      </w:r>
      <w:r w:rsidR="00C55A44" w:rsidRPr="00C55A44">
        <w:rPr>
          <w:rFonts w:ascii="Arial" w:hAnsi="Arial" w:cs="Arial"/>
          <w:sz w:val="14"/>
          <w:szCs w:val="14"/>
          <w:lang w:val="en"/>
        </w:rPr>
        <w:t xml:space="preserve">part of the </w:t>
      </w:r>
      <w:r w:rsidR="00CF7E5D">
        <w:rPr>
          <w:rFonts w:ascii="Arial" w:hAnsi="Arial" w:cs="Arial"/>
          <w:sz w:val="14"/>
          <w:szCs w:val="14"/>
          <w:lang w:val="en"/>
        </w:rPr>
        <w:t>site leadership team, she has participated in</w:t>
      </w:r>
      <w:r w:rsidR="00C55A44" w:rsidRPr="00C55A44">
        <w:rPr>
          <w:rFonts w:ascii="Arial" w:hAnsi="Arial" w:cs="Arial"/>
          <w:sz w:val="14"/>
          <w:szCs w:val="14"/>
          <w:lang w:val="en"/>
        </w:rPr>
        <w:t xml:space="preserve"> several GMP inspections, customer audits and successfully passing the FDA - PLI (pre-license inspection)</w:t>
      </w:r>
      <w:r w:rsidR="00C55A44" w:rsidRPr="00C55A44">
        <w:rPr>
          <w:rFonts w:ascii="Arial" w:eastAsia="Times New Roman" w:hAnsi="Arial" w:cs="Arial"/>
          <w:color w:val="002060"/>
          <w:sz w:val="14"/>
          <w:szCs w:val="14"/>
          <w:lang w:val="en" w:eastAsia="pl-PL"/>
        </w:rPr>
        <w:t xml:space="preserve"> </w:t>
      </w:r>
      <w:r w:rsidR="00C55A44" w:rsidRPr="00C55A44">
        <w:rPr>
          <w:rFonts w:ascii="Arial" w:hAnsi="Arial" w:cs="Arial"/>
          <w:sz w:val="14"/>
          <w:szCs w:val="14"/>
          <w:lang w:val="en"/>
        </w:rPr>
        <w:t>inspection</w:t>
      </w:r>
      <w:r w:rsidR="00276B94">
        <w:rPr>
          <w:rFonts w:ascii="Arial" w:hAnsi="Arial" w:cs="Arial"/>
          <w:sz w:val="14"/>
          <w:szCs w:val="14"/>
          <w:lang w:val="en"/>
        </w:rPr>
        <w:t>,</w:t>
      </w:r>
      <w:r w:rsidR="00C55A44" w:rsidRPr="00C55A44">
        <w:rPr>
          <w:rFonts w:ascii="Arial" w:hAnsi="Arial" w:cs="Arial"/>
          <w:sz w:val="14"/>
          <w:szCs w:val="14"/>
          <w:lang w:val="en"/>
        </w:rPr>
        <w:t xml:space="preserve"> gain</w:t>
      </w:r>
      <w:r w:rsidR="00276B94">
        <w:rPr>
          <w:rFonts w:ascii="Arial" w:hAnsi="Arial" w:cs="Arial"/>
          <w:sz w:val="14"/>
          <w:szCs w:val="14"/>
          <w:lang w:val="en"/>
        </w:rPr>
        <w:t>ing</w:t>
      </w:r>
      <w:r w:rsidR="00C55A44" w:rsidRPr="00C55A44">
        <w:rPr>
          <w:rFonts w:ascii="Arial" w:hAnsi="Arial" w:cs="Arial"/>
          <w:sz w:val="14"/>
          <w:szCs w:val="14"/>
          <w:lang w:val="en"/>
        </w:rPr>
        <w:t xml:space="preserve"> experience in a regulated environment. Going through various phases of the product life cycle, she participated in the preparation of registration dossiers for various agencies, as well as in the product approval process. Currently, as a Member of the Management Board and Head of the Polpharma Biologics Branch in Gdańsk, she is responsible for all operations in Gdańsk,</w:t>
      </w:r>
      <w:r w:rsidR="001217C0">
        <w:rPr>
          <w:rFonts w:ascii="Arial" w:hAnsi="Arial" w:cs="Arial"/>
          <w:sz w:val="14"/>
          <w:szCs w:val="14"/>
          <w:lang w:val="en"/>
        </w:rPr>
        <w:t xml:space="preserve"> </w:t>
      </w:r>
      <w:r w:rsidR="00C55A44" w:rsidRPr="00C55A44">
        <w:rPr>
          <w:rFonts w:ascii="Arial" w:hAnsi="Arial" w:cs="Arial"/>
          <w:sz w:val="14"/>
          <w:szCs w:val="14"/>
          <w:lang w:val="en"/>
        </w:rPr>
        <w:t>managing over 500 employees. Her focus is team building, people development and knowledge sharing.</w:t>
      </w:r>
    </w:p>
    <w:p w14:paraId="4E1F6BD2" w14:textId="75DDD0D0" w:rsidR="00AE3E37" w:rsidRPr="00C55A44" w:rsidRDefault="00A9710C" w:rsidP="003A3B11">
      <w:pPr>
        <w:spacing w:before="62"/>
        <w:ind w:left="4217" w:right="4235"/>
        <w:jc w:val="center"/>
        <w:rPr>
          <w:rFonts w:ascii="Arial"/>
          <w:sz w:val="14"/>
        </w:rPr>
      </w:pPr>
      <w:r w:rsidRPr="00C55A44">
        <w:rPr>
          <w:rFonts w:ascii="Arial"/>
          <w:sz w:val="14"/>
        </w:rPr>
        <w:t>Email:</w:t>
      </w:r>
      <w:r w:rsidR="003A3B11">
        <w:rPr>
          <w:rFonts w:ascii="Arial"/>
          <w:sz w:val="14"/>
        </w:rPr>
        <w:t xml:space="preserve"> </w:t>
      </w:r>
      <w:hyperlink r:id="rId12" w:history="1">
        <w:r w:rsidR="00B83B30" w:rsidRPr="00C55305">
          <w:rPr>
            <w:rStyle w:val="Hyperlink"/>
            <w:rFonts w:ascii="Arial"/>
            <w:sz w:val="14"/>
          </w:rPr>
          <w:t>adriana.kiedzierska@polpharmabiologics.com</w:t>
        </w:r>
      </w:hyperlink>
    </w:p>
    <w:p w14:paraId="26782BBC" w14:textId="77777777" w:rsidR="00AE3E37" w:rsidRPr="00C55A44"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412A6F8" wp14:editId="6A9C5D2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A928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39EFEF1" w14:textId="77777777" w:rsidR="00AE3E37" w:rsidRDefault="00A9710C" w:rsidP="000534A1">
      <w:pPr>
        <w:spacing w:before="39"/>
        <w:ind w:left="100"/>
        <w:rPr>
          <w:rFonts w:ascii="Minion Pro"/>
          <w:b/>
          <w:sz w:val="20"/>
        </w:rPr>
      </w:pPr>
      <w:r w:rsidRPr="00B21A57">
        <w:rPr>
          <w:rFonts w:ascii="Minion Pro"/>
          <w:b/>
          <w:sz w:val="20"/>
        </w:rPr>
        <w:t>Notes/Comments:</w:t>
      </w:r>
    </w:p>
    <w:p w14:paraId="5CAD9904" w14:textId="5066339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lastRenderedPageBreak/>
        <w:t xml:space="preserve">Full name: </w:t>
      </w:r>
      <w:r w:rsidR="00DE0A18">
        <w:rPr>
          <w:sz w:val="20"/>
          <w:szCs w:val="20"/>
          <w:lang w:val="en-NZ"/>
        </w:rPr>
        <w:t>Adriana Kiedzierska-Mencfeld</w:t>
      </w:r>
      <w:r w:rsidRPr="00F35A62">
        <w:rPr>
          <w:sz w:val="20"/>
          <w:szCs w:val="20"/>
          <w:lang w:val="en-NZ"/>
        </w:rPr>
        <w:br/>
        <w:t>Contact number:</w:t>
      </w:r>
      <w:r w:rsidR="00DE0A18">
        <w:rPr>
          <w:sz w:val="20"/>
          <w:szCs w:val="20"/>
          <w:lang w:val="en-NZ"/>
        </w:rPr>
        <w:t xml:space="preserve"> +48 885566906</w:t>
      </w:r>
      <w:r w:rsidRPr="00F35A62">
        <w:rPr>
          <w:sz w:val="20"/>
          <w:szCs w:val="20"/>
          <w:lang w:val="en-NZ"/>
        </w:rPr>
        <w:br/>
        <w:t>Twitter account:</w:t>
      </w:r>
      <w:r w:rsidR="00DE0A18">
        <w:rPr>
          <w:sz w:val="20"/>
          <w:szCs w:val="20"/>
          <w:lang w:val="en-NZ"/>
        </w:rPr>
        <w:t>N/A</w:t>
      </w:r>
      <w:r w:rsidRPr="00F35A62">
        <w:rPr>
          <w:sz w:val="20"/>
          <w:szCs w:val="20"/>
          <w:lang w:val="en-NZ"/>
        </w:rPr>
        <w:br/>
        <w:t>Linked In account:</w:t>
      </w:r>
      <w:r w:rsidR="00960678">
        <w:rPr>
          <w:sz w:val="20"/>
          <w:szCs w:val="20"/>
          <w:lang w:val="en-NZ"/>
        </w:rPr>
        <w:t xml:space="preserve"> Dr</w:t>
      </w:r>
      <w:r w:rsidR="00DE0A18">
        <w:rPr>
          <w:sz w:val="20"/>
          <w:szCs w:val="20"/>
          <w:lang w:val="en-NZ"/>
        </w:rPr>
        <w:t xml:space="preserve"> Adriana</w:t>
      </w:r>
      <w:r w:rsidR="00960678">
        <w:rPr>
          <w:sz w:val="20"/>
          <w:szCs w:val="20"/>
          <w:lang w:val="en-NZ"/>
        </w:rPr>
        <w:t xml:space="preserve"> Kiędzierska-Mencfeld</w:t>
      </w:r>
    </w:p>
    <w:p w14:paraId="076827B8" w14:textId="18013446" w:rsidR="00EA7D51" w:rsidRPr="00552819" w:rsidRDefault="00EA7D51" w:rsidP="00552819">
      <w:pPr>
        <w:autoSpaceDE w:val="0"/>
        <w:autoSpaceDN w:val="0"/>
        <w:adjustRightInd w:val="0"/>
        <w:rPr>
          <w:sz w:val="20"/>
          <w:szCs w:val="20"/>
          <w:lang w:val="en-NZ"/>
        </w:rPr>
        <w:sectPr w:rsidR="00EA7D51" w:rsidRPr="0055281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w:t>
      </w:r>
      <w:r w:rsidRPr="00960678">
        <w:rPr>
          <w:b/>
          <w:bCs/>
          <w:sz w:val="20"/>
          <w:szCs w:val="20"/>
          <w:lang w:val="en-NZ"/>
        </w:rPr>
        <w:t>Oral presentation</w:t>
      </w:r>
      <w:r w:rsidRPr="00F35A62">
        <w:rPr>
          <w:sz w:val="20"/>
          <w:szCs w:val="20"/>
          <w:lang w:val="en-NZ"/>
        </w:rPr>
        <w:t>/ Poster presentation)</w:t>
      </w:r>
      <w:r w:rsidRPr="00F35A62">
        <w:rPr>
          <w:sz w:val="20"/>
          <w:szCs w:val="20"/>
          <w:lang w:val="en-NZ"/>
        </w:rPr>
        <w:br/>
      </w:r>
    </w:p>
    <w:p w14:paraId="41C868DA" w14:textId="77777777" w:rsidR="00AE3E37" w:rsidRDefault="00AE3E37" w:rsidP="00552819">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E95A57" w14:textId="77777777" w:rsidR="007B33CA" w:rsidRDefault="007B33CA">
      <w:r>
        <w:separator/>
      </w:r>
    </w:p>
  </w:endnote>
  <w:endnote w:type="continuationSeparator" w:id="0">
    <w:p w14:paraId="514215B9" w14:textId="77777777" w:rsidR="007B33CA" w:rsidRDefault="007B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70DB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0EB7363" wp14:editId="43B698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3B9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C313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EB736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4C3B9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C313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1473AA" wp14:editId="5EA61E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7B0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4A3F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1473AA"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947B0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4A3F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FB09E2" wp14:editId="2AB6F7C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ACF4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BE0A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FB09E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90ACF4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BE0A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55813" w14:textId="77777777" w:rsidR="007B33CA" w:rsidRDefault="007B33CA">
      <w:r>
        <w:separator/>
      </w:r>
    </w:p>
  </w:footnote>
  <w:footnote w:type="continuationSeparator" w:id="0">
    <w:p w14:paraId="2244F9F6" w14:textId="77777777" w:rsidR="007B33CA" w:rsidRDefault="007B33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388C"/>
    <w:rsid w:val="000B4CAA"/>
    <w:rsid w:val="000E2911"/>
    <w:rsid w:val="001217C0"/>
    <w:rsid w:val="001263DF"/>
    <w:rsid w:val="00130BA9"/>
    <w:rsid w:val="00132823"/>
    <w:rsid w:val="00195E7F"/>
    <w:rsid w:val="001E20F4"/>
    <w:rsid w:val="00276B94"/>
    <w:rsid w:val="00292ED9"/>
    <w:rsid w:val="002B49CF"/>
    <w:rsid w:val="00351D9B"/>
    <w:rsid w:val="00380299"/>
    <w:rsid w:val="003A3B11"/>
    <w:rsid w:val="00404E5B"/>
    <w:rsid w:val="00414F7B"/>
    <w:rsid w:val="004355DC"/>
    <w:rsid w:val="004749B4"/>
    <w:rsid w:val="00475D20"/>
    <w:rsid w:val="004878BF"/>
    <w:rsid w:val="00494130"/>
    <w:rsid w:val="004F3523"/>
    <w:rsid w:val="00552819"/>
    <w:rsid w:val="00590D60"/>
    <w:rsid w:val="005973B9"/>
    <w:rsid w:val="005B3A56"/>
    <w:rsid w:val="005D4950"/>
    <w:rsid w:val="006060CE"/>
    <w:rsid w:val="0061505C"/>
    <w:rsid w:val="0063497F"/>
    <w:rsid w:val="00656AE0"/>
    <w:rsid w:val="0069164A"/>
    <w:rsid w:val="006D5A59"/>
    <w:rsid w:val="00714354"/>
    <w:rsid w:val="007B33CA"/>
    <w:rsid w:val="00873DF0"/>
    <w:rsid w:val="008756E6"/>
    <w:rsid w:val="00897EC5"/>
    <w:rsid w:val="008A0763"/>
    <w:rsid w:val="008A41F4"/>
    <w:rsid w:val="008E5477"/>
    <w:rsid w:val="00960678"/>
    <w:rsid w:val="00982F64"/>
    <w:rsid w:val="00996EA3"/>
    <w:rsid w:val="009B2D44"/>
    <w:rsid w:val="009B3D15"/>
    <w:rsid w:val="009D265E"/>
    <w:rsid w:val="009F6777"/>
    <w:rsid w:val="00A07E82"/>
    <w:rsid w:val="00A52075"/>
    <w:rsid w:val="00A6215D"/>
    <w:rsid w:val="00A72C6C"/>
    <w:rsid w:val="00A9710C"/>
    <w:rsid w:val="00AC6CAB"/>
    <w:rsid w:val="00AE3E37"/>
    <w:rsid w:val="00AF24F9"/>
    <w:rsid w:val="00B21A57"/>
    <w:rsid w:val="00B571B6"/>
    <w:rsid w:val="00B76712"/>
    <w:rsid w:val="00B83B30"/>
    <w:rsid w:val="00BE6743"/>
    <w:rsid w:val="00C33602"/>
    <w:rsid w:val="00C55A44"/>
    <w:rsid w:val="00C56C74"/>
    <w:rsid w:val="00C917DB"/>
    <w:rsid w:val="00CD6F55"/>
    <w:rsid w:val="00CF7E5D"/>
    <w:rsid w:val="00D1250C"/>
    <w:rsid w:val="00DB10A2"/>
    <w:rsid w:val="00DE0A18"/>
    <w:rsid w:val="00DE3104"/>
    <w:rsid w:val="00DE6170"/>
    <w:rsid w:val="00E30AAC"/>
    <w:rsid w:val="00E95D97"/>
    <w:rsid w:val="00EA7D51"/>
    <w:rsid w:val="00ED4A70"/>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4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982F6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6215D"/>
    <w:rPr>
      <w:color w:val="605E5C"/>
      <w:shd w:val="clear" w:color="auto" w:fill="E1DFDD"/>
    </w:rPr>
  </w:style>
  <w:style w:type="character" w:customStyle="1" w:styleId="normaltextrun">
    <w:name w:val="normaltextrun"/>
    <w:basedOn w:val="DefaultParagraphFont"/>
    <w:rsid w:val="00B76712"/>
  </w:style>
  <w:style w:type="character" w:customStyle="1" w:styleId="Heading5Char">
    <w:name w:val="Heading 5 Char"/>
    <w:basedOn w:val="DefaultParagraphFont"/>
    <w:link w:val="Heading5"/>
    <w:uiPriority w:val="9"/>
    <w:semiHidden/>
    <w:rsid w:val="00982F64"/>
    <w:rPr>
      <w:rFonts w:asciiTheme="majorHAnsi" w:eastAsiaTheme="majorEastAsia" w:hAnsiTheme="majorHAnsi" w:cstheme="majorBidi"/>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982F6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6215D"/>
    <w:rPr>
      <w:color w:val="605E5C"/>
      <w:shd w:val="clear" w:color="auto" w:fill="E1DFDD"/>
    </w:rPr>
  </w:style>
  <w:style w:type="character" w:customStyle="1" w:styleId="normaltextrun">
    <w:name w:val="normaltextrun"/>
    <w:basedOn w:val="DefaultParagraphFont"/>
    <w:rsid w:val="00B76712"/>
  </w:style>
  <w:style w:type="character" w:customStyle="1" w:styleId="Heading5Char">
    <w:name w:val="Heading 5 Char"/>
    <w:basedOn w:val="DefaultParagraphFont"/>
    <w:link w:val="Heading5"/>
    <w:uiPriority w:val="9"/>
    <w:semiHidden/>
    <w:rsid w:val="00982F64"/>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4929">
      <w:bodyDiv w:val="1"/>
      <w:marLeft w:val="0"/>
      <w:marRight w:val="0"/>
      <w:marTop w:val="0"/>
      <w:marBottom w:val="0"/>
      <w:divBdr>
        <w:top w:val="none" w:sz="0" w:space="0" w:color="auto"/>
        <w:left w:val="none" w:sz="0" w:space="0" w:color="auto"/>
        <w:bottom w:val="none" w:sz="0" w:space="0" w:color="auto"/>
        <w:right w:val="none" w:sz="0" w:space="0" w:color="auto"/>
      </w:divBdr>
      <w:divsChild>
        <w:div w:id="199557518">
          <w:marLeft w:val="0"/>
          <w:marRight w:val="0"/>
          <w:marTop w:val="0"/>
          <w:marBottom w:val="0"/>
          <w:divBdr>
            <w:top w:val="none" w:sz="0" w:space="0" w:color="auto"/>
            <w:left w:val="none" w:sz="0" w:space="0" w:color="auto"/>
            <w:bottom w:val="none" w:sz="0" w:space="0" w:color="auto"/>
            <w:right w:val="none" w:sz="0" w:space="0" w:color="auto"/>
          </w:divBdr>
          <w:divsChild>
            <w:div w:id="1406761614">
              <w:marLeft w:val="0"/>
              <w:marRight w:val="0"/>
              <w:marTop w:val="0"/>
              <w:marBottom w:val="0"/>
              <w:divBdr>
                <w:top w:val="none" w:sz="0" w:space="0" w:color="auto"/>
                <w:left w:val="none" w:sz="0" w:space="0" w:color="auto"/>
                <w:bottom w:val="none" w:sz="0" w:space="0" w:color="auto"/>
                <w:right w:val="none" w:sz="0" w:space="0" w:color="auto"/>
              </w:divBdr>
            </w:div>
            <w:div w:id="1434668858">
              <w:marLeft w:val="0"/>
              <w:marRight w:val="0"/>
              <w:marTop w:val="0"/>
              <w:marBottom w:val="0"/>
              <w:divBdr>
                <w:top w:val="none" w:sz="0" w:space="0" w:color="auto"/>
                <w:left w:val="none" w:sz="0" w:space="0" w:color="auto"/>
                <w:bottom w:val="none" w:sz="0" w:space="0" w:color="auto"/>
                <w:right w:val="none" w:sz="0" w:space="0" w:color="auto"/>
              </w:divBdr>
            </w:div>
            <w:div w:id="85425527">
              <w:marLeft w:val="0"/>
              <w:marRight w:val="0"/>
              <w:marTop w:val="0"/>
              <w:marBottom w:val="0"/>
              <w:divBdr>
                <w:top w:val="none" w:sz="0" w:space="0" w:color="auto"/>
                <w:left w:val="none" w:sz="0" w:space="0" w:color="auto"/>
                <w:bottom w:val="none" w:sz="0" w:space="0" w:color="auto"/>
                <w:right w:val="none" w:sz="0" w:space="0" w:color="auto"/>
              </w:divBdr>
            </w:div>
            <w:div w:id="1993102308">
              <w:marLeft w:val="0"/>
              <w:marRight w:val="0"/>
              <w:marTop w:val="0"/>
              <w:marBottom w:val="0"/>
              <w:divBdr>
                <w:top w:val="none" w:sz="0" w:space="0" w:color="auto"/>
                <w:left w:val="none" w:sz="0" w:space="0" w:color="auto"/>
                <w:bottom w:val="none" w:sz="0" w:space="0" w:color="auto"/>
                <w:right w:val="none" w:sz="0" w:space="0" w:color="auto"/>
              </w:divBdr>
            </w:div>
            <w:div w:id="2049061841">
              <w:marLeft w:val="0"/>
              <w:marRight w:val="0"/>
              <w:marTop w:val="0"/>
              <w:marBottom w:val="0"/>
              <w:divBdr>
                <w:top w:val="none" w:sz="0" w:space="0" w:color="auto"/>
                <w:left w:val="none" w:sz="0" w:space="0" w:color="auto"/>
                <w:bottom w:val="none" w:sz="0" w:space="0" w:color="auto"/>
                <w:right w:val="none" w:sz="0" w:space="0" w:color="auto"/>
              </w:divBdr>
            </w:div>
            <w:div w:id="2088918737">
              <w:marLeft w:val="0"/>
              <w:marRight w:val="0"/>
              <w:marTop w:val="0"/>
              <w:marBottom w:val="0"/>
              <w:divBdr>
                <w:top w:val="none" w:sz="0" w:space="0" w:color="auto"/>
                <w:left w:val="none" w:sz="0" w:space="0" w:color="auto"/>
                <w:bottom w:val="none" w:sz="0" w:space="0" w:color="auto"/>
                <w:right w:val="none" w:sz="0" w:space="0" w:color="auto"/>
              </w:divBdr>
            </w:div>
          </w:divsChild>
        </w:div>
        <w:div w:id="1283151294">
          <w:marLeft w:val="0"/>
          <w:marRight w:val="0"/>
          <w:marTop w:val="0"/>
          <w:marBottom w:val="0"/>
          <w:divBdr>
            <w:top w:val="none" w:sz="0" w:space="0" w:color="auto"/>
            <w:left w:val="none" w:sz="0" w:space="0" w:color="auto"/>
            <w:bottom w:val="none" w:sz="0" w:space="0" w:color="auto"/>
            <w:right w:val="none" w:sz="0" w:space="0" w:color="auto"/>
          </w:divBdr>
          <w:divsChild>
            <w:div w:id="963729234">
              <w:marLeft w:val="0"/>
              <w:marRight w:val="0"/>
              <w:marTop w:val="0"/>
              <w:marBottom w:val="0"/>
              <w:divBdr>
                <w:top w:val="none" w:sz="0" w:space="0" w:color="auto"/>
                <w:left w:val="none" w:sz="0" w:space="0" w:color="auto"/>
                <w:bottom w:val="none" w:sz="0" w:space="0" w:color="auto"/>
                <w:right w:val="none" w:sz="0" w:space="0" w:color="auto"/>
              </w:divBdr>
            </w:div>
            <w:div w:id="1952857319">
              <w:marLeft w:val="0"/>
              <w:marRight w:val="0"/>
              <w:marTop w:val="0"/>
              <w:marBottom w:val="0"/>
              <w:divBdr>
                <w:top w:val="none" w:sz="0" w:space="0" w:color="auto"/>
                <w:left w:val="none" w:sz="0" w:space="0" w:color="auto"/>
                <w:bottom w:val="none" w:sz="0" w:space="0" w:color="auto"/>
                <w:right w:val="none" w:sz="0" w:space="0" w:color="auto"/>
              </w:divBdr>
            </w:div>
            <w:div w:id="117336916">
              <w:marLeft w:val="0"/>
              <w:marRight w:val="0"/>
              <w:marTop w:val="0"/>
              <w:marBottom w:val="0"/>
              <w:divBdr>
                <w:top w:val="none" w:sz="0" w:space="0" w:color="auto"/>
                <w:left w:val="none" w:sz="0" w:space="0" w:color="auto"/>
                <w:bottom w:val="none" w:sz="0" w:space="0" w:color="auto"/>
                <w:right w:val="none" w:sz="0" w:space="0" w:color="auto"/>
              </w:divBdr>
            </w:div>
            <w:div w:id="752358976">
              <w:marLeft w:val="0"/>
              <w:marRight w:val="0"/>
              <w:marTop w:val="0"/>
              <w:marBottom w:val="0"/>
              <w:divBdr>
                <w:top w:val="none" w:sz="0" w:space="0" w:color="auto"/>
                <w:left w:val="none" w:sz="0" w:space="0" w:color="auto"/>
                <w:bottom w:val="none" w:sz="0" w:space="0" w:color="auto"/>
                <w:right w:val="none" w:sz="0" w:space="0" w:color="auto"/>
              </w:divBdr>
            </w:div>
            <w:div w:id="430976346">
              <w:marLeft w:val="0"/>
              <w:marRight w:val="0"/>
              <w:marTop w:val="0"/>
              <w:marBottom w:val="0"/>
              <w:divBdr>
                <w:top w:val="none" w:sz="0" w:space="0" w:color="auto"/>
                <w:left w:val="none" w:sz="0" w:space="0" w:color="auto"/>
                <w:bottom w:val="none" w:sz="0" w:space="0" w:color="auto"/>
                <w:right w:val="none" w:sz="0" w:space="0" w:color="auto"/>
              </w:divBdr>
            </w:div>
            <w:div w:id="188968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4745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driana.kiedzierska@polpharmabiologic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And Medical Case Reports</cp:lastModifiedBy>
  <cp:revision>34</cp:revision>
  <dcterms:created xsi:type="dcterms:W3CDTF">2023-01-29T15:21:00Z</dcterms:created>
  <dcterms:modified xsi:type="dcterms:W3CDTF">2023-01-30T05:02:00Z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