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AAB" w:rsidRPr="00E04DFF" w:rsidRDefault="00640E12" w:rsidP="00E04DFF">
      <w:pPr>
        <w:pStyle w:val="Heading1"/>
        <w:spacing w:before="0" w:after="200" w:line="276" w:lineRule="auto"/>
        <w:ind w:left="0"/>
        <w:rPr>
          <w:rFonts w:ascii="Times New Roman" w:hAnsi="Times New Roman" w:cs="Times New Roman"/>
          <w:sz w:val="32"/>
          <w:szCs w:val="24"/>
        </w:rPr>
      </w:pPr>
      <w:proofErr w:type="spellStart"/>
      <w:r w:rsidRPr="00640E12">
        <w:rPr>
          <w:rFonts w:ascii="Times New Roman" w:hAnsi="Times New Roman" w:cs="Times New Roman"/>
          <w:color w:val="337AB7"/>
          <w:sz w:val="32"/>
          <w:szCs w:val="24"/>
        </w:rPr>
        <w:t>Mendelian</w:t>
      </w:r>
      <w:proofErr w:type="spellEnd"/>
      <w:r w:rsidRPr="00640E12">
        <w:rPr>
          <w:rFonts w:ascii="Times New Roman" w:hAnsi="Times New Roman" w:cs="Times New Roman"/>
          <w:color w:val="337AB7"/>
          <w:sz w:val="32"/>
          <w:szCs w:val="24"/>
        </w:rPr>
        <w:t xml:space="preserve"> susceptibility to mycobacterial diseases: State of the puzzle</w:t>
      </w:r>
    </w:p>
    <w:p w:rsidR="00640E12" w:rsidRDefault="00640E12" w:rsidP="00E04DFF">
      <w:pPr>
        <w:pStyle w:val="BodyText"/>
        <w:spacing w:after="200" w:line="276" w:lineRule="auto"/>
        <w:rPr>
          <w:rFonts w:ascii="Times New Roman" w:hAnsi="Times New Roman" w:cs="Times New Roman"/>
          <w:sz w:val="24"/>
          <w:szCs w:val="24"/>
        </w:rPr>
      </w:pPr>
      <w:bookmarkStart w:id="0" w:name="_GoBack"/>
      <w:proofErr w:type="spellStart"/>
      <w:r w:rsidRPr="00640E12">
        <w:rPr>
          <w:rFonts w:ascii="Times New Roman" w:hAnsi="Times New Roman" w:cs="Times New Roman"/>
          <w:sz w:val="24"/>
          <w:szCs w:val="24"/>
        </w:rPr>
        <w:t>Abderrahmane</w:t>
      </w:r>
      <w:proofErr w:type="spellEnd"/>
      <w:r w:rsidRPr="00640E12">
        <w:rPr>
          <w:rFonts w:ascii="Times New Roman" w:hAnsi="Times New Roman" w:cs="Times New Roman"/>
          <w:sz w:val="24"/>
          <w:szCs w:val="24"/>
        </w:rPr>
        <w:t xml:space="preserve"> ERRAMI </w:t>
      </w:r>
      <w:bookmarkEnd w:id="0"/>
      <w:r>
        <w:rPr>
          <w:rFonts w:ascii="Times New Roman" w:hAnsi="Times New Roman" w:cs="Times New Roman"/>
          <w:sz w:val="24"/>
          <w:szCs w:val="24"/>
        </w:rPr>
        <w:t>*</w:t>
      </w:r>
    </w:p>
    <w:p w:rsidR="00640E12" w:rsidRDefault="00640E12" w:rsidP="00640E12">
      <w:pPr>
        <w:pStyle w:val="Heading3"/>
        <w:spacing w:before="0" w:after="200"/>
        <w:rPr>
          <w:rFonts w:ascii="Times New Roman" w:eastAsia="Tw Cen MT" w:hAnsi="Times New Roman" w:cs="Times New Roman"/>
          <w:b w:val="0"/>
          <w:bCs w:val="0"/>
          <w:color w:val="auto"/>
          <w:szCs w:val="24"/>
          <w:lang w:val="en-US"/>
        </w:rPr>
      </w:pPr>
      <w:r w:rsidRPr="00640E12">
        <w:rPr>
          <w:rFonts w:ascii="Times New Roman" w:eastAsia="Tw Cen MT" w:hAnsi="Times New Roman" w:cs="Times New Roman"/>
          <w:b w:val="0"/>
          <w:bCs w:val="0"/>
          <w:color w:val="auto"/>
          <w:szCs w:val="24"/>
          <w:lang w:val="en-US"/>
        </w:rPr>
        <w:t xml:space="preserve">Hassan II </w:t>
      </w:r>
      <w:r>
        <w:rPr>
          <w:rFonts w:ascii="Times New Roman" w:eastAsia="Tw Cen MT" w:hAnsi="Times New Roman" w:cs="Times New Roman"/>
          <w:b w:val="0"/>
          <w:bCs w:val="0"/>
          <w:color w:val="auto"/>
          <w:szCs w:val="24"/>
          <w:lang w:val="en-US"/>
        </w:rPr>
        <w:t>University, Casablanca, Morocco</w:t>
      </w:r>
    </w:p>
    <w:p w:rsidR="00691AAB" w:rsidRPr="00640E12" w:rsidRDefault="00640E12" w:rsidP="00640E12">
      <w:pPr>
        <w:pStyle w:val="Heading3"/>
        <w:spacing w:before="0" w:after="200"/>
        <w:rPr>
          <w:rFonts w:ascii="Times New Roman" w:eastAsia="Tw Cen MT" w:hAnsi="Times New Roman" w:cs="Times New Roman"/>
          <w:b w:val="0"/>
          <w:bCs w:val="0"/>
          <w:color w:val="auto"/>
          <w:szCs w:val="24"/>
          <w:lang w:val="en-US"/>
        </w:rPr>
      </w:pPr>
      <w:r>
        <w:rPr>
          <w:rFonts w:ascii="Times New Roman" w:eastAsia="Tw Cen MT" w:hAnsi="Times New Roman" w:cs="Times New Roman"/>
          <w:b w:val="0"/>
          <w:bCs w:val="0"/>
          <w:color w:val="auto"/>
          <w:szCs w:val="24"/>
          <w:lang w:val="en-US"/>
        </w:rPr>
        <w:t xml:space="preserve">                                                                </w:t>
      </w:r>
      <w:r>
        <w:rPr>
          <w:rFonts w:ascii="Times New Roman" w:hAnsi="Times New Roman" w:cs="Times New Roman"/>
          <w:color w:val="auto"/>
          <w:sz w:val="24"/>
          <w:szCs w:val="24"/>
          <w:lang w:val="en-IN"/>
        </w:rPr>
        <w:t xml:space="preserve">Abstract </w:t>
      </w:r>
    </w:p>
    <w:p w:rsidR="00691AAB" w:rsidRPr="00640E12" w:rsidRDefault="00640E12" w:rsidP="00640E12">
      <w:pPr>
        <w:pStyle w:val="BodyText"/>
        <w:spacing w:after="200" w:line="276" w:lineRule="auto"/>
        <w:jc w:val="both"/>
        <w:rPr>
          <w:rFonts w:ascii="Times New Roman" w:hAnsi="Times New Roman" w:cs="Times New Roman"/>
          <w:sz w:val="24"/>
          <w:szCs w:val="24"/>
        </w:rPr>
      </w:pPr>
      <w:r w:rsidRPr="00640E12">
        <w:rPr>
          <w:rFonts w:ascii="Times New Roman" w:hAnsi="Times New Roman" w:cs="Times New Roman"/>
          <w:sz w:val="20"/>
          <w:szCs w:val="24"/>
        </w:rPr>
        <w:t xml:space="preserve">The constant progress of genomics and the establishment of new functional tests have paved the way for the identification of monogenic defects conferring a selective predisposition to infections by certain types of microbes, as a new type of inborn errors of immunity (IEIs). </w:t>
      </w:r>
      <w:proofErr w:type="spellStart"/>
      <w:r w:rsidRPr="00640E12">
        <w:rPr>
          <w:rFonts w:ascii="Times New Roman" w:hAnsi="Times New Roman" w:cs="Times New Roman"/>
          <w:sz w:val="20"/>
          <w:szCs w:val="24"/>
        </w:rPr>
        <w:t>Mendelian</w:t>
      </w:r>
      <w:proofErr w:type="spellEnd"/>
      <w:r w:rsidRPr="00640E12">
        <w:rPr>
          <w:rFonts w:ascii="Times New Roman" w:hAnsi="Times New Roman" w:cs="Times New Roman"/>
          <w:sz w:val="20"/>
          <w:szCs w:val="24"/>
        </w:rPr>
        <w:t xml:space="preserve"> susceptibility to mycobacterial diseases (MSMD), is the most characterized of these IEIs, with 35 different disorders found in 19 distinct genes (IFNGR1, IFNGR2, IFNG, IL12RB1, IL12RB2, IL23R, IL12B, ISG15, USP18, ZNFX1, TBX21, STAT1, TYK2, IRF8, CYBB, JAK1, RORC, NEMO, and SPPL2A) over the last 20 years. MSMD confers a selective susceptibility to infections with weakly virulent mycobacteria, including the M. </w:t>
      </w:r>
      <w:proofErr w:type="spellStart"/>
      <w:r w:rsidRPr="00640E12">
        <w:rPr>
          <w:rFonts w:ascii="Times New Roman" w:hAnsi="Times New Roman" w:cs="Times New Roman"/>
          <w:sz w:val="20"/>
          <w:szCs w:val="24"/>
        </w:rPr>
        <w:t>bovis</w:t>
      </w:r>
      <w:proofErr w:type="spellEnd"/>
      <w:r w:rsidRPr="00640E12">
        <w:rPr>
          <w:rFonts w:ascii="Times New Roman" w:hAnsi="Times New Roman" w:cs="Times New Roman"/>
          <w:sz w:val="20"/>
          <w:szCs w:val="24"/>
        </w:rPr>
        <w:t xml:space="preserve"> </w:t>
      </w:r>
      <w:proofErr w:type="spellStart"/>
      <w:r w:rsidRPr="00640E12">
        <w:rPr>
          <w:rFonts w:ascii="Times New Roman" w:hAnsi="Times New Roman" w:cs="Times New Roman"/>
          <w:sz w:val="20"/>
          <w:szCs w:val="24"/>
        </w:rPr>
        <w:t>Bacille</w:t>
      </w:r>
      <w:proofErr w:type="spellEnd"/>
      <w:r w:rsidRPr="00640E12">
        <w:rPr>
          <w:rFonts w:ascii="Times New Roman" w:hAnsi="Times New Roman" w:cs="Times New Roman"/>
          <w:sz w:val="20"/>
          <w:szCs w:val="24"/>
        </w:rPr>
        <w:t xml:space="preserve"> </w:t>
      </w:r>
      <w:proofErr w:type="spellStart"/>
      <w:r w:rsidRPr="00640E12">
        <w:rPr>
          <w:rFonts w:ascii="Times New Roman" w:hAnsi="Times New Roman" w:cs="Times New Roman"/>
          <w:sz w:val="20"/>
          <w:szCs w:val="24"/>
        </w:rPr>
        <w:t>Calmette-Guérin</w:t>
      </w:r>
      <w:proofErr w:type="spellEnd"/>
      <w:r w:rsidRPr="00640E12">
        <w:rPr>
          <w:rFonts w:ascii="Times New Roman" w:hAnsi="Times New Roman" w:cs="Times New Roman"/>
          <w:sz w:val="20"/>
          <w:szCs w:val="24"/>
        </w:rPr>
        <w:t xml:space="preserve"> (BCG) vaccines and various environmental mycobacteria in patients, mostly children, without classical immune defects. These patients may also present severe forms of tuberculosis and about half of them develop non-</w:t>
      </w:r>
      <w:proofErr w:type="spellStart"/>
      <w:r w:rsidRPr="00640E12">
        <w:rPr>
          <w:rFonts w:ascii="Times New Roman" w:hAnsi="Times New Roman" w:cs="Times New Roman"/>
          <w:sz w:val="20"/>
          <w:szCs w:val="24"/>
        </w:rPr>
        <w:t>typhoidal</w:t>
      </w:r>
      <w:proofErr w:type="spellEnd"/>
      <w:r w:rsidRPr="00640E12">
        <w:rPr>
          <w:rFonts w:ascii="Times New Roman" w:hAnsi="Times New Roman" w:cs="Times New Roman"/>
          <w:sz w:val="20"/>
          <w:szCs w:val="24"/>
        </w:rPr>
        <w:t xml:space="preserve"> salmonellosis. In some cases, patients also suffer from chronic </w:t>
      </w:r>
      <w:proofErr w:type="spellStart"/>
      <w:r w:rsidRPr="00640E12">
        <w:rPr>
          <w:rFonts w:ascii="Times New Roman" w:hAnsi="Times New Roman" w:cs="Times New Roman"/>
          <w:sz w:val="20"/>
          <w:szCs w:val="24"/>
        </w:rPr>
        <w:t>mucocutaneous</w:t>
      </w:r>
      <w:proofErr w:type="spellEnd"/>
      <w:r w:rsidRPr="00640E12">
        <w:rPr>
          <w:rFonts w:ascii="Times New Roman" w:hAnsi="Times New Roman" w:cs="Times New Roman"/>
          <w:sz w:val="20"/>
          <w:szCs w:val="24"/>
        </w:rPr>
        <w:t xml:space="preserve"> candidiasis (CMC), while in </w:t>
      </w:r>
      <w:proofErr w:type="gramStart"/>
      <w:r w:rsidRPr="00640E12">
        <w:rPr>
          <w:rFonts w:ascii="Times New Roman" w:hAnsi="Times New Roman" w:cs="Times New Roman"/>
          <w:sz w:val="20"/>
          <w:szCs w:val="24"/>
        </w:rPr>
        <w:t>others,</w:t>
      </w:r>
      <w:proofErr w:type="gramEnd"/>
      <w:r w:rsidRPr="00640E12">
        <w:rPr>
          <w:rFonts w:ascii="Times New Roman" w:hAnsi="Times New Roman" w:cs="Times New Roman"/>
          <w:sz w:val="20"/>
          <w:szCs w:val="24"/>
        </w:rPr>
        <w:t xml:space="preserve"> patients also present severe viral, parasitic, fungal, and/or bacterial diseases. Despite this clinical and genetic heterogeneity, almost all genetic etiologies of MSMD alter the interferon-gamma (IFN-γ)-mediated immunity, by impairing or abolishing IFN-γ production or the response to this cytokine or both. It was proven that the human IFN-γ level is a quantitative trait that defines the outcome of mycobacterial infection. The study of these monogenic defects contributes to understanding the molecular mechanism of mycobacterial infections in humans and to the development of new diagnostic and therapeutic approaches to improve care and prognosis. For example, MSMD patients with impaired production of IFN-γ may benefit from injections of human recombinant IFN-γ, while for patients with abolished response to this </w:t>
      </w:r>
      <w:proofErr w:type="gramStart"/>
      <w:r w:rsidRPr="00640E12">
        <w:rPr>
          <w:rFonts w:ascii="Times New Roman" w:hAnsi="Times New Roman" w:cs="Times New Roman"/>
          <w:sz w:val="20"/>
          <w:szCs w:val="24"/>
        </w:rPr>
        <w:t>cytokine,</w:t>
      </w:r>
      <w:proofErr w:type="gramEnd"/>
      <w:r w:rsidRPr="00640E12">
        <w:rPr>
          <w:rFonts w:ascii="Times New Roman" w:hAnsi="Times New Roman" w:cs="Times New Roman"/>
          <w:sz w:val="20"/>
          <w:szCs w:val="24"/>
        </w:rPr>
        <w:t xml:space="preserve"> hematopoietic stem cell transplantation (HSCT) and promising gene therapy are the only current therapeutic options. These discoveries also bridge the gap between simple </w:t>
      </w:r>
      <w:proofErr w:type="spellStart"/>
      <w:r w:rsidRPr="00640E12">
        <w:rPr>
          <w:rFonts w:ascii="Times New Roman" w:hAnsi="Times New Roman" w:cs="Times New Roman"/>
          <w:sz w:val="20"/>
          <w:szCs w:val="24"/>
        </w:rPr>
        <w:t>Mendelian</w:t>
      </w:r>
      <w:proofErr w:type="spellEnd"/>
      <w:r w:rsidRPr="00640E12">
        <w:rPr>
          <w:rFonts w:ascii="Times New Roman" w:hAnsi="Times New Roman" w:cs="Times New Roman"/>
          <w:sz w:val="20"/>
          <w:szCs w:val="24"/>
        </w:rPr>
        <w:t xml:space="preserve"> inheritance and complex human genetics.</w:t>
      </w:r>
    </w:p>
    <w:p w:rsidR="00640E12" w:rsidRDefault="00691AAB" w:rsidP="00640E12">
      <w:pPr>
        <w:rPr>
          <w:rFonts w:ascii="Times New Roman" w:hAnsi="Times New Roman" w:cs="Times New Roman"/>
          <w:b/>
          <w:sz w:val="24"/>
          <w:szCs w:val="24"/>
        </w:rPr>
      </w:pPr>
      <w:proofErr w:type="spellStart"/>
      <w:r w:rsidRPr="00E04DFF">
        <w:rPr>
          <w:rFonts w:ascii="Times New Roman" w:hAnsi="Times New Roman" w:cs="Times New Roman"/>
          <w:b/>
          <w:sz w:val="24"/>
          <w:szCs w:val="24"/>
        </w:rPr>
        <w:t>Reference</w:t>
      </w:r>
      <w:r w:rsidR="00640E12">
        <w:rPr>
          <w:rFonts w:ascii="Times New Roman" w:hAnsi="Times New Roman" w:cs="Times New Roman"/>
          <w:b/>
          <w:sz w:val="24"/>
          <w:szCs w:val="24"/>
        </w:rPr>
        <w:t>s</w:t>
      </w:r>
      <w:proofErr w:type="spellEnd"/>
    </w:p>
    <w:p w:rsidR="00640E12" w:rsidRPr="00640E12" w:rsidRDefault="00640E12" w:rsidP="00640E12">
      <w:pPr>
        <w:pStyle w:val="ListParagraph"/>
        <w:numPr>
          <w:ilvl w:val="0"/>
          <w:numId w:val="3"/>
        </w:numPr>
        <w:tabs>
          <w:tab w:val="left" w:pos="384"/>
        </w:tabs>
        <w:spacing w:before="0" w:line="276" w:lineRule="auto"/>
        <w:rPr>
          <w:rFonts w:ascii="Times New Roman" w:hAnsi="Times New Roman" w:cs="Times New Roman"/>
          <w:sz w:val="20"/>
          <w:szCs w:val="24"/>
        </w:rPr>
      </w:pPr>
      <w:proofErr w:type="spellStart"/>
      <w:r w:rsidRPr="00640E12">
        <w:rPr>
          <w:rFonts w:ascii="Times New Roman" w:eastAsiaTheme="minorHAnsi" w:hAnsi="Times New Roman" w:cs="Times New Roman"/>
          <w:sz w:val="20"/>
          <w:szCs w:val="24"/>
          <w:lang w:val="es-US"/>
        </w:rPr>
        <w:t>Errami</w:t>
      </w:r>
      <w:proofErr w:type="spellEnd"/>
      <w:r w:rsidRPr="00640E12">
        <w:rPr>
          <w:rFonts w:ascii="Times New Roman" w:eastAsiaTheme="minorHAnsi" w:hAnsi="Times New Roman" w:cs="Times New Roman"/>
          <w:sz w:val="20"/>
          <w:szCs w:val="24"/>
          <w:lang w:val="es-US"/>
        </w:rPr>
        <w:t xml:space="preserve"> A, El </w:t>
      </w:r>
      <w:proofErr w:type="spellStart"/>
      <w:r w:rsidRPr="00640E12">
        <w:rPr>
          <w:rFonts w:ascii="Times New Roman" w:eastAsiaTheme="minorHAnsi" w:hAnsi="Times New Roman" w:cs="Times New Roman"/>
          <w:sz w:val="20"/>
          <w:szCs w:val="24"/>
          <w:lang w:val="es-US"/>
        </w:rPr>
        <w:t>Baghdadi</w:t>
      </w:r>
      <w:proofErr w:type="spellEnd"/>
      <w:r w:rsidRPr="00640E12">
        <w:rPr>
          <w:rFonts w:ascii="Times New Roman" w:eastAsiaTheme="minorHAnsi" w:hAnsi="Times New Roman" w:cs="Times New Roman"/>
          <w:sz w:val="20"/>
          <w:szCs w:val="24"/>
          <w:lang w:val="es-US"/>
        </w:rPr>
        <w:t xml:space="preserve"> J, </w:t>
      </w:r>
      <w:proofErr w:type="spellStart"/>
      <w:r w:rsidRPr="00640E12">
        <w:rPr>
          <w:rFonts w:ascii="Times New Roman" w:eastAsiaTheme="minorHAnsi" w:hAnsi="Times New Roman" w:cs="Times New Roman"/>
          <w:sz w:val="20"/>
          <w:szCs w:val="24"/>
          <w:lang w:val="es-US"/>
        </w:rPr>
        <w:t>Ailal</w:t>
      </w:r>
      <w:proofErr w:type="spellEnd"/>
      <w:r w:rsidRPr="00640E12">
        <w:rPr>
          <w:rFonts w:ascii="Times New Roman" w:eastAsiaTheme="minorHAnsi" w:hAnsi="Times New Roman" w:cs="Times New Roman"/>
          <w:sz w:val="20"/>
          <w:szCs w:val="24"/>
          <w:lang w:val="es-US"/>
        </w:rPr>
        <w:t xml:space="preserve"> F, et al. </w:t>
      </w:r>
      <w:proofErr w:type="spellStart"/>
      <w:r w:rsidRPr="00640E12">
        <w:rPr>
          <w:rFonts w:ascii="Times New Roman" w:eastAsiaTheme="minorHAnsi" w:hAnsi="Times New Roman" w:cs="Times New Roman"/>
          <w:sz w:val="20"/>
          <w:szCs w:val="24"/>
          <w:lang w:val="es-US"/>
        </w:rPr>
        <w:t>Mendelian</w:t>
      </w:r>
      <w:proofErr w:type="spellEnd"/>
      <w:r w:rsidRPr="00640E12">
        <w:rPr>
          <w:rFonts w:ascii="Times New Roman" w:eastAsiaTheme="minorHAnsi" w:hAnsi="Times New Roman" w:cs="Times New Roman"/>
          <w:sz w:val="20"/>
          <w:szCs w:val="24"/>
          <w:lang w:val="es-US"/>
        </w:rPr>
        <w:t xml:space="preserve"> </w:t>
      </w:r>
      <w:proofErr w:type="spellStart"/>
      <w:r w:rsidRPr="00640E12">
        <w:rPr>
          <w:rFonts w:ascii="Times New Roman" w:eastAsiaTheme="minorHAnsi" w:hAnsi="Times New Roman" w:cs="Times New Roman"/>
          <w:sz w:val="20"/>
          <w:szCs w:val="24"/>
          <w:lang w:val="es-US"/>
        </w:rPr>
        <w:t>susceptibility</w:t>
      </w:r>
      <w:proofErr w:type="spellEnd"/>
      <w:r w:rsidRPr="00640E12">
        <w:rPr>
          <w:rFonts w:ascii="Times New Roman" w:eastAsiaTheme="minorHAnsi" w:hAnsi="Times New Roman" w:cs="Times New Roman"/>
          <w:sz w:val="20"/>
          <w:szCs w:val="24"/>
          <w:lang w:val="es-US"/>
        </w:rPr>
        <w:t xml:space="preserve"> </w:t>
      </w:r>
      <w:proofErr w:type="spellStart"/>
      <w:r w:rsidRPr="00640E12">
        <w:rPr>
          <w:rFonts w:ascii="Times New Roman" w:eastAsiaTheme="minorHAnsi" w:hAnsi="Times New Roman" w:cs="Times New Roman"/>
          <w:sz w:val="20"/>
          <w:szCs w:val="24"/>
          <w:lang w:val="es-US"/>
        </w:rPr>
        <w:t>to</w:t>
      </w:r>
      <w:proofErr w:type="spellEnd"/>
      <w:r w:rsidRPr="00640E12">
        <w:rPr>
          <w:rFonts w:ascii="Times New Roman" w:eastAsiaTheme="minorHAnsi" w:hAnsi="Times New Roman" w:cs="Times New Roman"/>
          <w:sz w:val="20"/>
          <w:szCs w:val="24"/>
          <w:lang w:val="es-US"/>
        </w:rPr>
        <w:t xml:space="preserve"> </w:t>
      </w:r>
      <w:proofErr w:type="spellStart"/>
      <w:r w:rsidRPr="00640E12">
        <w:rPr>
          <w:rFonts w:ascii="Times New Roman" w:eastAsiaTheme="minorHAnsi" w:hAnsi="Times New Roman" w:cs="Times New Roman"/>
          <w:sz w:val="20"/>
          <w:szCs w:val="24"/>
          <w:lang w:val="es-US"/>
        </w:rPr>
        <w:t>mycobacterial</w:t>
      </w:r>
      <w:proofErr w:type="spellEnd"/>
      <w:r w:rsidRPr="00640E12">
        <w:rPr>
          <w:rFonts w:ascii="Times New Roman" w:eastAsiaTheme="minorHAnsi" w:hAnsi="Times New Roman" w:cs="Times New Roman"/>
          <w:sz w:val="20"/>
          <w:szCs w:val="24"/>
          <w:lang w:val="es-US"/>
        </w:rPr>
        <w:t xml:space="preserve"> </w:t>
      </w:r>
      <w:proofErr w:type="spellStart"/>
      <w:r w:rsidRPr="00640E12">
        <w:rPr>
          <w:rFonts w:ascii="Times New Roman" w:eastAsiaTheme="minorHAnsi" w:hAnsi="Times New Roman" w:cs="Times New Roman"/>
          <w:sz w:val="20"/>
          <w:szCs w:val="24"/>
          <w:lang w:val="es-US"/>
        </w:rPr>
        <w:t>disease</w:t>
      </w:r>
      <w:proofErr w:type="spellEnd"/>
      <w:r w:rsidRPr="00640E12">
        <w:rPr>
          <w:rFonts w:ascii="Times New Roman" w:eastAsiaTheme="minorHAnsi" w:hAnsi="Times New Roman" w:cs="Times New Roman"/>
          <w:sz w:val="20"/>
          <w:szCs w:val="24"/>
          <w:lang w:val="es-US"/>
        </w:rPr>
        <w:t xml:space="preserve">: </w:t>
      </w:r>
      <w:proofErr w:type="spellStart"/>
      <w:r w:rsidRPr="00640E12">
        <w:rPr>
          <w:rFonts w:ascii="Times New Roman" w:eastAsiaTheme="minorHAnsi" w:hAnsi="Times New Roman" w:cs="Times New Roman"/>
          <w:sz w:val="20"/>
          <w:szCs w:val="24"/>
          <w:lang w:val="es-US"/>
        </w:rPr>
        <w:t>an</w:t>
      </w:r>
      <w:proofErr w:type="spellEnd"/>
      <w:r w:rsidRPr="00640E12">
        <w:rPr>
          <w:rFonts w:ascii="Times New Roman" w:eastAsiaTheme="minorHAnsi" w:hAnsi="Times New Roman" w:cs="Times New Roman"/>
          <w:sz w:val="20"/>
          <w:szCs w:val="24"/>
          <w:lang w:val="es-US"/>
        </w:rPr>
        <w:t xml:space="preserve"> </w:t>
      </w:r>
      <w:proofErr w:type="spellStart"/>
      <w:r w:rsidRPr="00640E12">
        <w:rPr>
          <w:rFonts w:ascii="Times New Roman" w:eastAsiaTheme="minorHAnsi" w:hAnsi="Times New Roman" w:cs="Times New Roman"/>
          <w:sz w:val="20"/>
          <w:szCs w:val="24"/>
          <w:lang w:val="es-US"/>
        </w:rPr>
        <w:t>overview</w:t>
      </w:r>
      <w:proofErr w:type="spellEnd"/>
      <w:r w:rsidRPr="00640E12">
        <w:rPr>
          <w:rFonts w:ascii="Times New Roman" w:eastAsiaTheme="minorHAnsi" w:hAnsi="Times New Roman" w:cs="Times New Roman"/>
          <w:sz w:val="20"/>
          <w:szCs w:val="24"/>
          <w:lang w:val="es-US"/>
        </w:rPr>
        <w:t xml:space="preserve">. </w:t>
      </w:r>
      <w:proofErr w:type="spellStart"/>
      <w:r w:rsidRPr="00640E12">
        <w:rPr>
          <w:rFonts w:ascii="Times New Roman" w:eastAsiaTheme="minorHAnsi" w:hAnsi="Times New Roman" w:cs="Times New Roman"/>
          <w:sz w:val="20"/>
          <w:szCs w:val="24"/>
          <w:lang w:val="es-US"/>
        </w:rPr>
        <w:t>Egyptian</w:t>
      </w:r>
      <w:proofErr w:type="spellEnd"/>
      <w:r w:rsidRPr="00640E12">
        <w:rPr>
          <w:rFonts w:ascii="Times New Roman" w:eastAsiaTheme="minorHAnsi" w:hAnsi="Times New Roman" w:cs="Times New Roman"/>
          <w:sz w:val="20"/>
          <w:szCs w:val="24"/>
          <w:lang w:val="es-US"/>
        </w:rPr>
        <w:t xml:space="preserve"> </w:t>
      </w:r>
      <w:proofErr w:type="spellStart"/>
      <w:r w:rsidRPr="00640E12">
        <w:rPr>
          <w:rFonts w:ascii="Times New Roman" w:eastAsiaTheme="minorHAnsi" w:hAnsi="Times New Roman" w:cs="Times New Roman"/>
          <w:sz w:val="20"/>
          <w:szCs w:val="24"/>
          <w:lang w:val="es-US"/>
        </w:rPr>
        <w:t>Jou</w:t>
      </w:r>
      <w:r>
        <w:rPr>
          <w:rFonts w:ascii="Times New Roman" w:eastAsiaTheme="minorHAnsi" w:hAnsi="Times New Roman" w:cs="Times New Roman"/>
          <w:sz w:val="20"/>
          <w:szCs w:val="24"/>
          <w:lang w:val="es-US"/>
        </w:rPr>
        <w:t>rnal</w:t>
      </w:r>
      <w:proofErr w:type="spellEnd"/>
      <w:r>
        <w:rPr>
          <w:rFonts w:ascii="Times New Roman" w:eastAsiaTheme="minorHAnsi" w:hAnsi="Times New Roman" w:cs="Times New Roman"/>
          <w:sz w:val="20"/>
          <w:szCs w:val="24"/>
          <w:lang w:val="es-US"/>
        </w:rPr>
        <w:t xml:space="preserve"> of Medical Human </w:t>
      </w:r>
      <w:proofErr w:type="spellStart"/>
      <w:r>
        <w:rPr>
          <w:rFonts w:ascii="Times New Roman" w:eastAsiaTheme="minorHAnsi" w:hAnsi="Times New Roman" w:cs="Times New Roman"/>
          <w:sz w:val="20"/>
          <w:szCs w:val="24"/>
          <w:lang w:val="es-US"/>
        </w:rPr>
        <w:t>Genetics</w:t>
      </w:r>
      <w:proofErr w:type="spellEnd"/>
      <w:r>
        <w:rPr>
          <w:rFonts w:ascii="Times New Roman" w:eastAsiaTheme="minorHAnsi" w:hAnsi="Times New Roman" w:cs="Times New Roman"/>
          <w:sz w:val="20"/>
          <w:szCs w:val="24"/>
          <w:lang w:val="es-US"/>
        </w:rPr>
        <w:t>.</w:t>
      </w:r>
    </w:p>
    <w:p w:rsidR="00640E12" w:rsidRPr="00640E12" w:rsidRDefault="00640E12" w:rsidP="00640E12">
      <w:pPr>
        <w:pStyle w:val="ListParagraph"/>
        <w:numPr>
          <w:ilvl w:val="0"/>
          <w:numId w:val="3"/>
        </w:numPr>
        <w:tabs>
          <w:tab w:val="left" w:pos="384"/>
        </w:tabs>
        <w:spacing w:before="0" w:line="276" w:lineRule="auto"/>
        <w:rPr>
          <w:rFonts w:ascii="Times New Roman" w:hAnsi="Times New Roman" w:cs="Times New Roman"/>
          <w:sz w:val="20"/>
          <w:szCs w:val="24"/>
        </w:rPr>
      </w:pPr>
      <w:proofErr w:type="spellStart"/>
      <w:r w:rsidRPr="00640E12">
        <w:rPr>
          <w:rFonts w:ascii="Times New Roman" w:hAnsi="Times New Roman" w:cs="Times New Roman"/>
          <w:sz w:val="20"/>
          <w:szCs w:val="24"/>
        </w:rPr>
        <w:t>Errami</w:t>
      </w:r>
      <w:proofErr w:type="spellEnd"/>
      <w:r w:rsidRPr="00640E12">
        <w:rPr>
          <w:rFonts w:ascii="Times New Roman" w:hAnsi="Times New Roman" w:cs="Times New Roman"/>
          <w:sz w:val="20"/>
          <w:szCs w:val="24"/>
        </w:rPr>
        <w:t xml:space="preserve"> A, Baghdadi JE, </w:t>
      </w:r>
      <w:proofErr w:type="spellStart"/>
      <w:r w:rsidRPr="00640E12">
        <w:rPr>
          <w:rFonts w:ascii="Times New Roman" w:hAnsi="Times New Roman" w:cs="Times New Roman"/>
          <w:sz w:val="20"/>
          <w:szCs w:val="24"/>
        </w:rPr>
        <w:t>Ailal</w:t>
      </w:r>
      <w:proofErr w:type="spellEnd"/>
      <w:r w:rsidRPr="00640E12">
        <w:rPr>
          <w:rFonts w:ascii="Times New Roman" w:hAnsi="Times New Roman" w:cs="Times New Roman"/>
          <w:sz w:val="20"/>
          <w:szCs w:val="24"/>
        </w:rPr>
        <w:t xml:space="preserve"> F, et al. </w:t>
      </w:r>
      <w:proofErr w:type="spellStart"/>
      <w:r w:rsidRPr="00640E12">
        <w:rPr>
          <w:rFonts w:ascii="Times New Roman" w:hAnsi="Times New Roman" w:cs="Times New Roman"/>
          <w:sz w:val="20"/>
          <w:szCs w:val="24"/>
        </w:rPr>
        <w:t>Mendelian</w:t>
      </w:r>
      <w:proofErr w:type="spellEnd"/>
      <w:r w:rsidRPr="00640E12">
        <w:rPr>
          <w:rFonts w:ascii="Times New Roman" w:hAnsi="Times New Roman" w:cs="Times New Roman"/>
          <w:sz w:val="20"/>
          <w:szCs w:val="24"/>
        </w:rPr>
        <w:t xml:space="preserve"> Susceptibility to Mycobacterial Disease (MSMD): Clinical, Immunological, and Genetic Features of 22 Patients from 15 Moroccan </w:t>
      </w:r>
      <w:proofErr w:type="spellStart"/>
      <w:r w:rsidRPr="00640E12">
        <w:rPr>
          <w:rFonts w:ascii="Times New Roman" w:hAnsi="Times New Roman" w:cs="Times New Roman"/>
          <w:sz w:val="20"/>
          <w:szCs w:val="24"/>
        </w:rPr>
        <w:t>Kindreds</w:t>
      </w:r>
      <w:proofErr w:type="spellEnd"/>
      <w:r w:rsidRPr="00640E12">
        <w:rPr>
          <w:rFonts w:ascii="Times New Roman" w:hAnsi="Times New Roman" w:cs="Times New Roman"/>
          <w:sz w:val="20"/>
          <w:szCs w:val="24"/>
        </w:rPr>
        <w:t xml:space="preserve">. J </w:t>
      </w:r>
      <w:proofErr w:type="spellStart"/>
      <w:r w:rsidRPr="00640E12">
        <w:rPr>
          <w:rFonts w:ascii="Times New Roman" w:hAnsi="Times New Roman" w:cs="Times New Roman"/>
          <w:sz w:val="20"/>
          <w:szCs w:val="24"/>
        </w:rPr>
        <w:t>Clin</w:t>
      </w:r>
      <w:proofErr w:type="spellEnd"/>
      <w:r w:rsidRPr="00640E12">
        <w:rPr>
          <w:rFonts w:ascii="Times New Roman" w:hAnsi="Times New Roman" w:cs="Times New Roman"/>
          <w:sz w:val="20"/>
          <w:szCs w:val="24"/>
        </w:rPr>
        <w:t xml:space="preserve"> </w:t>
      </w:r>
      <w:proofErr w:type="spellStart"/>
      <w:r w:rsidRPr="00640E12">
        <w:rPr>
          <w:rFonts w:ascii="Times New Roman" w:hAnsi="Times New Roman" w:cs="Times New Roman"/>
          <w:sz w:val="20"/>
          <w:szCs w:val="24"/>
        </w:rPr>
        <w:t>Immunol</w:t>
      </w:r>
      <w:proofErr w:type="spellEnd"/>
    </w:p>
    <w:p w:rsidR="00691AAB" w:rsidRPr="00E04DFF" w:rsidRDefault="00640E12" w:rsidP="00640E12">
      <w:pPr>
        <w:pStyle w:val="ListParagraph"/>
        <w:numPr>
          <w:ilvl w:val="0"/>
          <w:numId w:val="3"/>
        </w:numPr>
        <w:tabs>
          <w:tab w:val="left" w:pos="384"/>
        </w:tabs>
        <w:spacing w:before="0" w:line="276" w:lineRule="auto"/>
        <w:rPr>
          <w:rFonts w:ascii="Times New Roman" w:hAnsi="Times New Roman" w:cs="Times New Roman"/>
          <w:sz w:val="20"/>
          <w:szCs w:val="24"/>
        </w:rPr>
      </w:pPr>
      <w:proofErr w:type="spellStart"/>
      <w:r w:rsidRPr="00640E12">
        <w:rPr>
          <w:rFonts w:ascii="Times New Roman" w:hAnsi="Times New Roman" w:cs="Times New Roman"/>
          <w:sz w:val="20"/>
          <w:szCs w:val="24"/>
        </w:rPr>
        <w:t>Ogishi</w:t>
      </w:r>
      <w:proofErr w:type="spellEnd"/>
      <w:r w:rsidRPr="00640E12">
        <w:rPr>
          <w:rFonts w:ascii="Times New Roman" w:hAnsi="Times New Roman" w:cs="Times New Roman"/>
          <w:sz w:val="20"/>
          <w:szCs w:val="24"/>
        </w:rPr>
        <w:t xml:space="preserve"> M, Arias AA, Yang R, et al. Impaired IL-23-dependent induction of IFN-gamma underlies mycobacterial disease in patients with inherited TYK2 deficiency. The J</w:t>
      </w:r>
      <w:r>
        <w:rPr>
          <w:rFonts w:ascii="Times New Roman" w:hAnsi="Times New Roman" w:cs="Times New Roman"/>
          <w:sz w:val="20"/>
          <w:szCs w:val="24"/>
        </w:rPr>
        <w:t>ournal of experimental medicine</w:t>
      </w:r>
      <w:r w:rsidR="00691AAB" w:rsidRPr="00E04DFF">
        <w:rPr>
          <w:rFonts w:ascii="Times New Roman" w:hAnsi="Times New Roman" w:cs="Times New Roman"/>
          <w:sz w:val="20"/>
          <w:szCs w:val="24"/>
        </w:rPr>
        <w:t>.</w:t>
      </w:r>
    </w:p>
    <w:p w:rsidR="00E04DFF" w:rsidRPr="00E04DFF" w:rsidRDefault="00E04DFF" w:rsidP="00E04DFF">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Biograph</w:t>
      </w:r>
      <w:r w:rsidR="00640E12">
        <w:rPr>
          <w:rFonts w:ascii="Times New Roman" w:hAnsi="Times New Roman" w:cs="Times New Roman"/>
          <w:b/>
          <w:sz w:val="24"/>
          <w:szCs w:val="24"/>
        </w:rPr>
        <w:t>y</w:t>
      </w:r>
      <w:proofErr w:type="spellEnd"/>
    </w:p>
    <w:p w:rsidR="00640E12" w:rsidRPr="00640E12" w:rsidRDefault="00640E12" w:rsidP="00640E12">
      <w:pPr>
        <w:jc w:val="both"/>
        <w:rPr>
          <w:rFonts w:ascii="Times New Roman" w:hAnsi="Times New Roman" w:cs="Times New Roman"/>
          <w:sz w:val="20"/>
          <w:szCs w:val="24"/>
          <w:lang w:val="en-US"/>
        </w:rPr>
      </w:pPr>
      <w:proofErr w:type="spellStart"/>
      <w:r w:rsidRPr="00640E12">
        <w:rPr>
          <w:rFonts w:ascii="Times New Roman" w:hAnsi="Times New Roman" w:cs="Times New Roman"/>
          <w:sz w:val="20"/>
          <w:szCs w:val="24"/>
          <w:lang w:val="en-US"/>
        </w:rPr>
        <w:t>Abderrahmane</w:t>
      </w:r>
      <w:proofErr w:type="spellEnd"/>
      <w:r w:rsidRPr="00640E12">
        <w:rPr>
          <w:rFonts w:ascii="Times New Roman" w:hAnsi="Times New Roman" w:cs="Times New Roman"/>
          <w:sz w:val="20"/>
          <w:szCs w:val="24"/>
          <w:lang w:val="en-US"/>
        </w:rPr>
        <w:t xml:space="preserve"> </w:t>
      </w:r>
      <w:proofErr w:type="spellStart"/>
      <w:r w:rsidRPr="00640E12">
        <w:rPr>
          <w:rFonts w:ascii="Times New Roman" w:hAnsi="Times New Roman" w:cs="Times New Roman"/>
          <w:sz w:val="20"/>
          <w:szCs w:val="24"/>
          <w:lang w:val="en-US"/>
        </w:rPr>
        <w:t>Errami</w:t>
      </w:r>
      <w:proofErr w:type="spellEnd"/>
      <w:r w:rsidRPr="00640E12">
        <w:rPr>
          <w:rFonts w:ascii="Times New Roman" w:hAnsi="Times New Roman" w:cs="Times New Roman"/>
          <w:sz w:val="20"/>
          <w:szCs w:val="24"/>
          <w:lang w:val="en-US"/>
        </w:rPr>
        <w:t xml:space="preserve">, Ph.D. in </w:t>
      </w:r>
      <w:proofErr w:type="spellStart"/>
      <w:r w:rsidRPr="00640E12">
        <w:rPr>
          <w:rFonts w:ascii="Times New Roman" w:hAnsi="Times New Roman" w:cs="Times New Roman"/>
          <w:sz w:val="20"/>
          <w:szCs w:val="24"/>
          <w:lang w:val="en-US"/>
        </w:rPr>
        <w:t>Immunogenetics</w:t>
      </w:r>
      <w:proofErr w:type="spellEnd"/>
      <w:r w:rsidRPr="00640E12">
        <w:rPr>
          <w:rFonts w:ascii="Times New Roman" w:hAnsi="Times New Roman" w:cs="Times New Roman"/>
          <w:sz w:val="20"/>
          <w:szCs w:val="24"/>
          <w:lang w:val="en-US"/>
        </w:rPr>
        <w:t xml:space="preserve"> and Molecular Pathology, from the Faculty of Medicine and Pharmacy in Casablanca and a member of the European Society for Primary Immunodeficiency (ESID), African Society for Primary Immunodeficiency (ASID) and Arabic Society for Primary Immunodeficiency. </w:t>
      </w:r>
    </w:p>
    <w:p w:rsidR="00EB7307" w:rsidRPr="00270966" w:rsidRDefault="00640E12" w:rsidP="00640E12">
      <w:pPr>
        <w:jc w:val="both"/>
        <w:rPr>
          <w:rFonts w:ascii="Times New Roman" w:hAnsi="Times New Roman" w:cs="Times New Roman"/>
          <w:sz w:val="20"/>
          <w:szCs w:val="24"/>
          <w:lang w:val="en-US"/>
        </w:rPr>
      </w:pPr>
      <w:r w:rsidRPr="00640E12">
        <w:rPr>
          <w:rFonts w:ascii="Times New Roman" w:hAnsi="Times New Roman" w:cs="Times New Roman"/>
          <w:sz w:val="20"/>
          <w:szCs w:val="24"/>
          <w:lang w:val="en-US"/>
        </w:rPr>
        <w:t>As soon as he joined the research team at Casablanca Children’s Hospital, the Reference Center for Primary Immunodeficiency in Morocco, he took charge of the National Registry for Primary Immunodeficiency. He has written several articles in English, French, and Arabic and has given lectures at national and international meetings. He was also part of the organizing committee for several scientific events in person or online.</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979B5"/>
    <w:rsid w:val="004A6532"/>
    <w:rsid w:val="00524CE0"/>
    <w:rsid w:val="00640E12"/>
    <w:rsid w:val="00691AAB"/>
    <w:rsid w:val="007245CF"/>
    <w:rsid w:val="00861368"/>
    <w:rsid w:val="008D2886"/>
    <w:rsid w:val="00AB1CA2"/>
    <w:rsid w:val="00AB22C7"/>
    <w:rsid w:val="00B82905"/>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omics1</cp:lastModifiedBy>
  <cp:revision>2</cp:revision>
  <dcterms:created xsi:type="dcterms:W3CDTF">2023-01-30T04:27:00Z</dcterms:created>
  <dcterms:modified xsi:type="dcterms:W3CDTF">2023-01-30T04:27:00Z</dcterms:modified>
</cp:coreProperties>
</file>