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0A" w:rsidRPr="002D674B" w:rsidRDefault="002D674B" w:rsidP="002D674B">
      <w:pPr>
        <w:jc w:val="both"/>
        <w:rPr>
          <w:rFonts w:ascii="Times New Roman" w:hAnsi="Times New Roman" w:cs="Times New Roman"/>
          <w:b/>
          <w:sz w:val="28"/>
          <w:szCs w:val="24"/>
        </w:rPr>
      </w:pPr>
      <w:r w:rsidRPr="002D674B">
        <w:rPr>
          <w:rFonts w:ascii="Times New Roman" w:hAnsi="Times New Roman" w:cs="Times New Roman"/>
          <w:b/>
          <w:sz w:val="28"/>
          <w:szCs w:val="24"/>
        </w:rPr>
        <w:t>Dietary practices and social attitudes trend of admitted infants into Misurata Medical Centre</w:t>
      </w:r>
    </w:p>
    <w:p w:rsidR="002D674B" w:rsidRPr="002D674B" w:rsidRDefault="002D674B" w:rsidP="002D674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74B">
        <w:rPr>
          <w:rFonts w:ascii="Times New Roman" w:hAnsi="Times New Roman" w:cs="Times New Roman"/>
          <w:b/>
          <w:sz w:val="24"/>
          <w:szCs w:val="24"/>
        </w:rPr>
        <w:t>Ayman Balla Mustafa٭</w:t>
      </w:r>
      <w:r w:rsidRPr="002D674B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2D674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D674B">
        <w:rPr>
          <w:rFonts w:ascii="Times New Roman" w:hAnsi="Times New Roman" w:cs="Times New Roman"/>
          <w:b/>
          <w:sz w:val="24"/>
          <w:szCs w:val="24"/>
        </w:rPr>
        <w:t>Salem Elwahaishi</w:t>
      </w:r>
      <w:r w:rsidRPr="002D674B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2D674B">
        <w:rPr>
          <w:rFonts w:ascii="Times New Roman" w:hAnsi="Times New Roman" w:cs="Times New Roman"/>
          <w:b/>
          <w:sz w:val="24"/>
          <w:szCs w:val="24"/>
        </w:rPr>
        <w:t>, Abdalla Elgenaidi</w:t>
      </w:r>
      <w:r w:rsidRPr="002D674B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2D674B">
        <w:rPr>
          <w:rFonts w:ascii="Times New Roman" w:hAnsi="Times New Roman" w:cs="Times New Roman"/>
          <w:b/>
          <w:sz w:val="24"/>
          <w:szCs w:val="24"/>
        </w:rPr>
        <w:t>, Maryam Ismail</w:t>
      </w:r>
      <w:r w:rsidRPr="002D674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2D674B">
        <w:rPr>
          <w:rFonts w:ascii="Times New Roman" w:hAnsi="Times New Roman" w:cs="Times New Roman"/>
          <w:b/>
          <w:sz w:val="24"/>
          <w:szCs w:val="24"/>
        </w:rPr>
        <w:t>, Salem Mohamed Embiriekah</w:t>
      </w:r>
      <w:r w:rsidRPr="002D674B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2D6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and</w:t>
      </w:r>
      <w:r w:rsidRPr="002D67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b/>
          <w:sz w:val="24"/>
          <w:szCs w:val="24"/>
        </w:rPr>
        <w:t>Mohanad Bashari</w:t>
      </w:r>
      <w:r w:rsidRPr="002D674B"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</w:p>
    <w:p w:rsidR="002D674B" w:rsidRPr="002D674B" w:rsidRDefault="002D674B" w:rsidP="002D674B">
      <w:pPr>
        <w:jc w:val="both"/>
        <w:rPr>
          <w:rFonts w:ascii="Times New Roman" w:hAnsi="Times New Roman" w:cs="Times New Roman"/>
          <w:sz w:val="24"/>
          <w:szCs w:val="24"/>
        </w:rPr>
      </w:pPr>
      <w:r w:rsidRPr="002D674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D674B">
        <w:rPr>
          <w:rFonts w:ascii="Times New Roman" w:hAnsi="Times New Roman" w:cs="Times New Roman"/>
          <w:sz w:val="24"/>
          <w:szCs w:val="24"/>
        </w:rPr>
        <w:t xml:space="preserve">Department of Therapeutic Nutrition, Faculty of Health Sciences, Misurata University, P.O. Box: 1018, Misurata, Libya. </w:t>
      </w:r>
    </w:p>
    <w:p w:rsidR="002D674B" w:rsidRPr="002D674B" w:rsidRDefault="002D674B" w:rsidP="002D674B">
      <w:pPr>
        <w:jc w:val="both"/>
        <w:rPr>
          <w:rFonts w:ascii="Times New Roman" w:hAnsi="Times New Roman" w:cs="Times New Roman"/>
          <w:sz w:val="24"/>
          <w:szCs w:val="24"/>
        </w:rPr>
      </w:pPr>
      <w:r w:rsidRPr="002D674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D674B">
        <w:rPr>
          <w:rFonts w:ascii="Times New Roman" w:hAnsi="Times New Roman" w:cs="Times New Roman"/>
          <w:sz w:val="24"/>
          <w:szCs w:val="24"/>
        </w:rPr>
        <w:t xml:space="preserve">Department of Pediatric, Faculty of Medicine, Misurata University, P.O. Box: 2478, Misurata, Libya. </w:t>
      </w:r>
    </w:p>
    <w:p w:rsidR="002D674B" w:rsidRPr="002D674B" w:rsidRDefault="002D674B" w:rsidP="002D674B">
      <w:pPr>
        <w:jc w:val="both"/>
        <w:rPr>
          <w:rFonts w:ascii="Times New Roman" w:hAnsi="Times New Roman" w:cs="Times New Roman"/>
          <w:sz w:val="24"/>
          <w:szCs w:val="24"/>
        </w:rPr>
      </w:pPr>
      <w:r w:rsidRPr="002D674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D674B">
        <w:rPr>
          <w:rFonts w:ascii="Times New Roman" w:hAnsi="Times New Roman" w:cs="Times New Roman"/>
          <w:sz w:val="24"/>
          <w:szCs w:val="24"/>
        </w:rPr>
        <w:t xml:space="preserve">Department of Chemistry, Faculty of Education, Misurata University, Misurata, Libya. </w:t>
      </w:r>
    </w:p>
    <w:p w:rsidR="002D674B" w:rsidRDefault="002D674B" w:rsidP="002D674B">
      <w:pPr>
        <w:jc w:val="both"/>
        <w:rPr>
          <w:rFonts w:ascii="Times New Roman" w:hAnsi="Times New Roman" w:cs="Times New Roman"/>
          <w:sz w:val="24"/>
          <w:szCs w:val="24"/>
        </w:rPr>
      </w:pPr>
      <w:r w:rsidRPr="002D674B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D674B">
        <w:rPr>
          <w:rFonts w:ascii="Times New Roman" w:hAnsi="Times New Roman" w:cs="Times New Roman"/>
          <w:sz w:val="24"/>
          <w:szCs w:val="24"/>
        </w:rPr>
        <w:t>Food Science and Human Nutrition Department, College of Applied and Health Sciences, A’Sharqiah University, P.O. Box 42, Ibra 400, Oman.</w:t>
      </w:r>
    </w:p>
    <w:p w:rsidR="002D674B" w:rsidRDefault="002D674B" w:rsidP="002D67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74B" w:rsidRPr="002D674B" w:rsidRDefault="002D674B" w:rsidP="002D67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74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2D674B" w:rsidRPr="002D674B" w:rsidRDefault="002D674B" w:rsidP="002D674B">
      <w:pPr>
        <w:jc w:val="both"/>
        <w:rPr>
          <w:rFonts w:ascii="Times New Roman" w:hAnsi="Times New Roman" w:cs="Times New Roman"/>
          <w:sz w:val="24"/>
          <w:szCs w:val="24"/>
        </w:rPr>
      </w:pPr>
      <w:r w:rsidRPr="002D674B">
        <w:rPr>
          <w:rFonts w:ascii="Times New Roman" w:hAnsi="Times New Roman" w:cs="Times New Roman"/>
          <w:sz w:val="24"/>
          <w:szCs w:val="24"/>
        </w:rPr>
        <w:t>An infant's feeding practices may be particularly relevant starting early as the first six months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of life, since it may be associated with later health outcomes. The cross-section hospital-based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study conducted to evaluate feeding practices and social attitudes regarding child nutrition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care during infancy. The study was investigated randomly 226 respondents, those who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admitted at maternity and pediatrics section at Misurata Medical Centre (MMC) from January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to December 2021. Well-structured questionnaire was prepared according to study purposes.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It involved three comparts, these included demographic peculiarities, breast feeding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complementary feeding practices. Pearson Correlation was used to evaluate the relationship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between variables. The result showed majority of participants fall within age group 1-3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months. 13% of participants were low birth weight. Almost participants 59% introduced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complementary food before 4 months of age. The majority of participants 78% were used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feeding bottle without returned to refrigerator immediately after feeding session. Whenever,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73% of participants were give-up exclusive breastfeeding before 4 months than 59%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respondents introduced complementary food before month 4 after birth. The result revealed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that statistically significant (p≤0.05) of duration of exclusive breastfeeding, elongation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breast feeding, introduction of complementary food, types of formula and preservation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feeding bottle after session immediately. It was explored that a significantly (p≤0.05)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correlation of continuation of breast feeding versus infant age (r=0.290), also significantly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(p≤0.05) correlation of type of formula versus immunization status (r=0.257) and use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nutritional supplement (r=0.142) during infancy. The nutrition risk factor will be threatening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infant health and nutrition unless the maternal must be aware exclusive breastfeeding role,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when initiation of complementary food and how dealing with feeding bottle to be safe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lastRenderedPageBreak/>
        <w:t>health. The appropriate nutrition intervention must be done among maternal that to encourage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74B">
        <w:rPr>
          <w:rFonts w:ascii="Times New Roman" w:hAnsi="Times New Roman" w:cs="Times New Roman"/>
          <w:sz w:val="24"/>
          <w:szCs w:val="24"/>
        </w:rPr>
        <w:t>breast feeding, reduce morbidity rate and improve nutrition care during infancy.</w:t>
      </w:r>
    </w:p>
    <w:p w:rsidR="002D674B" w:rsidRDefault="002D674B" w:rsidP="002D674B">
      <w:pPr>
        <w:jc w:val="both"/>
        <w:rPr>
          <w:rFonts w:ascii="Times New Roman" w:hAnsi="Times New Roman" w:cs="Times New Roman"/>
          <w:sz w:val="24"/>
          <w:szCs w:val="24"/>
        </w:rPr>
      </w:pPr>
      <w:r w:rsidRPr="002D674B">
        <w:rPr>
          <w:rFonts w:ascii="Times New Roman" w:hAnsi="Times New Roman" w:cs="Times New Roman"/>
          <w:b/>
          <w:sz w:val="24"/>
          <w:szCs w:val="24"/>
        </w:rPr>
        <w:t>Key words:</w:t>
      </w:r>
      <w:r w:rsidRPr="002D674B">
        <w:rPr>
          <w:rFonts w:ascii="Times New Roman" w:hAnsi="Times New Roman" w:cs="Times New Roman"/>
          <w:sz w:val="24"/>
          <w:szCs w:val="24"/>
        </w:rPr>
        <w:t xml:space="preserve"> Complementary Feeding, Dietary Assessment, Infants, Misurata, Nutrition.</w:t>
      </w:r>
    </w:p>
    <w:p w:rsidR="002D674B" w:rsidRDefault="002D674B" w:rsidP="002D67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74B" w:rsidRDefault="002D674B" w:rsidP="002D674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674B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2D674B" w:rsidRPr="002D674B" w:rsidRDefault="002D674B" w:rsidP="002D674B">
      <w:pPr>
        <w:jc w:val="both"/>
        <w:rPr>
          <w:rFonts w:ascii="Times New Roman" w:hAnsi="Times New Roman" w:cs="Times New Roman"/>
          <w:sz w:val="24"/>
          <w:szCs w:val="24"/>
        </w:rPr>
      </w:pPr>
      <w:r w:rsidRPr="002D674B">
        <w:rPr>
          <w:rFonts w:ascii="Times New Roman" w:hAnsi="Times New Roman" w:cs="Times New Roman"/>
          <w:sz w:val="24"/>
          <w:szCs w:val="24"/>
        </w:rPr>
        <w:t xml:space="preserve">Ayman Balla Mustafa </w:t>
      </w:r>
      <w:r>
        <w:rPr>
          <w:rFonts w:ascii="Times New Roman" w:hAnsi="Times New Roman" w:cs="Times New Roman"/>
          <w:sz w:val="24"/>
          <w:szCs w:val="24"/>
        </w:rPr>
        <w:t xml:space="preserve">is affiliated to the </w:t>
      </w:r>
      <w:bookmarkStart w:id="0" w:name="_GoBack"/>
      <w:bookmarkEnd w:id="0"/>
      <w:r w:rsidRPr="002D674B">
        <w:rPr>
          <w:rFonts w:ascii="Times New Roman" w:hAnsi="Times New Roman" w:cs="Times New Roman"/>
          <w:sz w:val="24"/>
          <w:szCs w:val="24"/>
        </w:rPr>
        <w:t xml:space="preserve">Department of Therapeutic Nutrition, Faculty of Health Sciences, Misurata University, P.O. Box: 1018, Misurata, Libya. </w:t>
      </w:r>
    </w:p>
    <w:p w:rsidR="002D674B" w:rsidRPr="002D674B" w:rsidRDefault="002D674B" w:rsidP="002D674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D674B" w:rsidRPr="002D6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74B"/>
    <w:rsid w:val="002D674B"/>
    <w:rsid w:val="005B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Conference World Chemistry 2021</dc:creator>
  <cp:lastModifiedBy>Conference World Chemistry 2021</cp:lastModifiedBy>
  <cp:revision>1</cp:revision>
  <dcterms:created xsi:type="dcterms:W3CDTF">2023-01-27T11:09:00Z</dcterms:created>
  <dcterms:modified xsi:type="dcterms:W3CDTF">2023-01-27T11:16:00Z</dcterms:modified>
</cp:coreProperties>
</file>