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A25" w:rsidRPr="00474358" w:rsidRDefault="00AD6A25" w:rsidP="00AD6A25">
      <w:pPr>
        <w:bidi w:val="0"/>
        <w:spacing w:line="360" w:lineRule="auto"/>
        <w:jc w:val="center"/>
        <w:rPr>
          <w:rFonts w:asciiTheme="majorBidi" w:hAnsiTheme="majorBidi" w:cstheme="majorBidi"/>
          <w:b/>
          <w:bCs/>
          <w:color w:val="000000" w:themeColor="text1"/>
          <w:sz w:val="28"/>
          <w:szCs w:val="28"/>
        </w:rPr>
      </w:pPr>
      <w:r w:rsidRPr="00474358">
        <w:rPr>
          <w:rFonts w:asciiTheme="majorBidi" w:hAnsiTheme="majorBidi" w:cstheme="majorBidi"/>
          <w:b/>
          <w:bCs/>
          <w:color w:val="000000" w:themeColor="text1"/>
          <w:sz w:val="28"/>
          <w:szCs w:val="28"/>
        </w:rPr>
        <w:t>Dietary assessment and nutrition pattern of maternal with gestation diabetes at Misurata Medical Centre</w:t>
      </w:r>
    </w:p>
    <w:p w:rsidR="00AD6A25" w:rsidRPr="00AD6A25" w:rsidRDefault="00AD6A25" w:rsidP="00AD6A25">
      <w:pPr>
        <w:autoSpaceDE w:val="0"/>
        <w:autoSpaceDN w:val="0"/>
        <w:bidi w:val="0"/>
        <w:adjustRightInd w:val="0"/>
        <w:spacing w:after="0" w:line="240" w:lineRule="auto"/>
        <w:jc w:val="center"/>
        <w:rPr>
          <w:rFonts w:ascii="TimesNewRoman" w:cs="TimesNewRoman"/>
          <w:color w:val="000000"/>
          <w:sz w:val="24"/>
          <w:szCs w:val="24"/>
        </w:rPr>
      </w:pPr>
      <w:proofErr w:type="spellStart"/>
      <w:r>
        <w:rPr>
          <w:rFonts w:ascii="TimesNewRoman" w:cs="TimesNewRoman"/>
          <w:color w:val="000000"/>
          <w:sz w:val="24"/>
          <w:szCs w:val="24"/>
        </w:rPr>
        <w:t>Ayman</w:t>
      </w:r>
      <w:proofErr w:type="spellEnd"/>
      <w:r>
        <w:rPr>
          <w:rFonts w:ascii="TimesNewRoman" w:cs="TimesNewRoman"/>
          <w:color w:val="000000"/>
          <w:sz w:val="24"/>
          <w:szCs w:val="24"/>
        </w:rPr>
        <w:t xml:space="preserve"> </w:t>
      </w:r>
      <w:proofErr w:type="spellStart"/>
      <w:r>
        <w:rPr>
          <w:rFonts w:ascii="TimesNewRoman" w:cs="TimesNewRoman"/>
          <w:color w:val="000000"/>
          <w:sz w:val="24"/>
          <w:szCs w:val="24"/>
        </w:rPr>
        <w:t>Balla</w:t>
      </w:r>
      <w:proofErr w:type="spellEnd"/>
      <w:r>
        <w:rPr>
          <w:rFonts w:ascii="TimesNewRoman" w:cs="TimesNewRoman"/>
          <w:color w:val="000000"/>
          <w:sz w:val="24"/>
          <w:szCs w:val="24"/>
        </w:rPr>
        <w:t xml:space="preserve"> Mustafa</w:t>
      </w:r>
      <w:r>
        <w:rPr>
          <w:rFonts w:ascii="TimesNewRoman" w:cs="TimesNewRoman" w:hint="cs"/>
          <w:color w:val="000000"/>
          <w:sz w:val="24"/>
          <w:szCs w:val="24"/>
          <w:rtl/>
        </w:rPr>
        <w:t>٭</w:t>
      </w:r>
      <w:r w:rsidRPr="00AD6A25">
        <w:rPr>
          <w:rFonts w:ascii="TimesNewRoman" w:cs="TimesNewRoman"/>
          <w:color w:val="000000"/>
          <w:sz w:val="16"/>
          <w:szCs w:val="16"/>
          <w:vertAlign w:val="superscript"/>
        </w:rPr>
        <w:t>1</w:t>
      </w:r>
      <w:r>
        <w:rPr>
          <w:rFonts w:ascii="TimesNewRoman" w:cs="TimesNewRoman"/>
          <w:color w:val="000000"/>
          <w:sz w:val="24"/>
          <w:szCs w:val="24"/>
        </w:rPr>
        <w:t xml:space="preserve">; </w:t>
      </w:r>
      <w:proofErr w:type="spellStart"/>
      <w:r>
        <w:rPr>
          <w:rFonts w:ascii="TimesNewRoman" w:cs="TimesNewRoman"/>
          <w:color w:val="000000"/>
          <w:sz w:val="24"/>
          <w:szCs w:val="24"/>
        </w:rPr>
        <w:t>Abdalla</w:t>
      </w:r>
      <w:proofErr w:type="spellEnd"/>
      <w:r>
        <w:rPr>
          <w:rFonts w:ascii="TimesNewRoman" w:cs="TimesNewRoman"/>
          <w:color w:val="000000"/>
          <w:sz w:val="24"/>
          <w:szCs w:val="24"/>
        </w:rPr>
        <w:t xml:space="preserve"> Elgenaidi</w:t>
      </w:r>
      <w:r>
        <w:rPr>
          <w:rFonts w:ascii="TimesNewRoman" w:cs="TimesNewRoman"/>
          <w:color w:val="000000"/>
          <w:sz w:val="16"/>
          <w:szCs w:val="16"/>
          <w:vertAlign w:val="superscript"/>
        </w:rPr>
        <w:t>1</w:t>
      </w:r>
      <w:r>
        <w:rPr>
          <w:rFonts w:ascii="TimesNewRoman" w:cs="TimesNewRoman"/>
          <w:color w:val="000000"/>
          <w:sz w:val="16"/>
          <w:szCs w:val="16"/>
        </w:rPr>
        <w:t xml:space="preserve">; </w:t>
      </w:r>
      <w:r>
        <w:rPr>
          <w:rFonts w:ascii="TimesNewRoman" w:cs="TimesNewRoman"/>
          <w:color w:val="000000"/>
          <w:sz w:val="24"/>
          <w:szCs w:val="24"/>
        </w:rPr>
        <w:t xml:space="preserve">Salem </w:t>
      </w:r>
      <w:r>
        <w:rPr>
          <w:rFonts w:ascii="TimesNewRoman" w:cs="TimesNewRoman"/>
          <w:color w:val="201F1E"/>
          <w:sz w:val="24"/>
          <w:szCs w:val="24"/>
        </w:rPr>
        <w:t>Elwahaishi</w:t>
      </w:r>
      <w:r w:rsidRPr="00AD6A25">
        <w:rPr>
          <w:rFonts w:ascii="TimesNewRoman" w:cs="TimesNewRoman"/>
          <w:color w:val="201F1E"/>
          <w:sz w:val="16"/>
          <w:szCs w:val="16"/>
          <w:vertAlign w:val="superscript"/>
        </w:rPr>
        <w:t>1</w:t>
      </w:r>
      <w:r>
        <w:rPr>
          <w:rFonts w:ascii="TimesNewRoman" w:cs="TimesNewRoman"/>
          <w:color w:val="201F1E"/>
          <w:sz w:val="18"/>
          <w:szCs w:val="18"/>
        </w:rPr>
        <w:t>;</w:t>
      </w:r>
      <w:r>
        <w:rPr>
          <w:rFonts w:ascii="TimesNewRoman" w:cs="TimesNewRoman"/>
          <w:color w:val="000000"/>
          <w:sz w:val="24"/>
          <w:szCs w:val="24"/>
        </w:rPr>
        <w:t xml:space="preserve"> Salem Embiriekah</w:t>
      </w:r>
      <w:r>
        <w:rPr>
          <w:rFonts w:ascii="TimesNewRoman" w:cs="TimesNewRoman"/>
          <w:color w:val="000000"/>
          <w:sz w:val="16"/>
          <w:szCs w:val="16"/>
          <w:vertAlign w:val="superscript"/>
        </w:rPr>
        <w:t>2</w:t>
      </w:r>
      <w:r>
        <w:rPr>
          <w:rFonts w:ascii="TimesNewRoman" w:cs="TimesNewRoman"/>
          <w:color w:val="000000"/>
          <w:sz w:val="24"/>
          <w:szCs w:val="24"/>
        </w:rPr>
        <w:t xml:space="preserve">; </w:t>
      </w:r>
      <w:proofErr w:type="spellStart"/>
      <w:r>
        <w:rPr>
          <w:rFonts w:ascii="TimesNewRoman" w:cs="TimesNewRoman"/>
          <w:color w:val="000000"/>
          <w:sz w:val="24"/>
          <w:szCs w:val="24"/>
        </w:rPr>
        <w:t>Mohanad</w:t>
      </w:r>
      <w:proofErr w:type="spellEnd"/>
      <w:r>
        <w:rPr>
          <w:rFonts w:ascii="TimesNewRoman" w:cs="TimesNewRoman"/>
          <w:color w:val="000000"/>
          <w:sz w:val="24"/>
          <w:szCs w:val="24"/>
        </w:rPr>
        <w:t xml:space="preserve"> Bashari</w:t>
      </w:r>
      <w:r>
        <w:rPr>
          <w:rFonts w:ascii="TimesNewRoman" w:cs="TimesNewRoman"/>
          <w:color w:val="000000"/>
          <w:sz w:val="16"/>
          <w:szCs w:val="16"/>
          <w:vertAlign w:val="superscript"/>
        </w:rPr>
        <w:t>3</w:t>
      </w:r>
    </w:p>
    <w:p w:rsidR="00AD6A25" w:rsidRPr="00AD6A25" w:rsidRDefault="00AD6A25" w:rsidP="00AD6A25">
      <w:pPr>
        <w:autoSpaceDE w:val="0"/>
        <w:autoSpaceDN w:val="0"/>
        <w:bidi w:val="0"/>
        <w:adjustRightInd w:val="0"/>
        <w:spacing w:after="0" w:line="240" w:lineRule="auto"/>
        <w:rPr>
          <w:rFonts w:ascii="TimesNewRoman" w:cs="TimesNewRoman"/>
          <w:color w:val="000000"/>
          <w:sz w:val="16"/>
          <w:szCs w:val="16"/>
        </w:rPr>
      </w:pPr>
    </w:p>
    <w:p w:rsidR="00AD6A25" w:rsidRDefault="00AD6A25" w:rsidP="00474358">
      <w:pPr>
        <w:autoSpaceDE w:val="0"/>
        <w:autoSpaceDN w:val="0"/>
        <w:bidi w:val="0"/>
        <w:adjustRightInd w:val="0"/>
        <w:spacing w:after="0" w:line="360" w:lineRule="auto"/>
        <w:rPr>
          <w:rFonts w:ascii="TimesNewRoman" w:cs="TimesNewRoman"/>
          <w:color w:val="000000"/>
          <w:sz w:val="24"/>
          <w:szCs w:val="24"/>
        </w:rPr>
      </w:pPr>
      <w:r>
        <w:rPr>
          <w:rFonts w:ascii="TimesNewRoman" w:cs="TimesNewRoman"/>
          <w:color w:val="000000"/>
          <w:sz w:val="16"/>
          <w:szCs w:val="16"/>
        </w:rPr>
        <w:t>1-</w:t>
      </w:r>
      <w:r>
        <w:rPr>
          <w:rFonts w:ascii="TimesNewRoman" w:cs="TimesNewRoman"/>
          <w:color w:val="000000"/>
          <w:sz w:val="24"/>
          <w:szCs w:val="24"/>
        </w:rPr>
        <w:t>Department of Therapeutic Nutrition, Faculty of Health Sciences, Misurata University, P.O. Box: 1018, Misurata, Libya.</w:t>
      </w:r>
    </w:p>
    <w:p w:rsidR="00AD6A25" w:rsidRDefault="00AD6A25" w:rsidP="00474358">
      <w:pPr>
        <w:autoSpaceDE w:val="0"/>
        <w:autoSpaceDN w:val="0"/>
        <w:bidi w:val="0"/>
        <w:adjustRightInd w:val="0"/>
        <w:spacing w:after="0" w:line="360" w:lineRule="auto"/>
        <w:rPr>
          <w:rFonts w:ascii="TimesNewRoman" w:cs="TimesNewRoman"/>
          <w:color w:val="000000"/>
          <w:sz w:val="24"/>
          <w:szCs w:val="24"/>
        </w:rPr>
      </w:pPr>
      <w:r>
        <w:rPr>
          <w:rFonts w:ascii="TimesNewRoman" w:cs="TimesNewRoman"/>
          <w:color w:val="000000"/>
          <w:sz w:val="16"/>
          <w:szCs w:val="16"/>
        </w:rPr>
        <w:t>2-</w:t>
      </w:r>
      <w:r>
        <w:rPr>
          <w:rFonts w:ascii="TimesNewRoman" w:cs="TimesNewRoman"/>
          <w:color w:val="000000"/>
          <w:sz w:val="24"/>
          <w:szCs w:val="24"/>
        </w:rPr>
        <w:t>Department of Chemistry, Faculty of Education, Misurata University, Misurata, Libya.</w:t>
      </w:r>
    </w:p>
    <w:p w:rsidR="00AD6A25" w:rsidRDefault="00AD6A25" w:rsidP="00474358">
      <w:pPr>
        <w:autoSpaceDE w:val="0"/>
        <w:autoSpaceDN w:val="0"/>
        <w:bidi w:val="0"/>
        <w:adjustRightInd w:val="0"/>
        <w:spacing w:after="0" w:line="360" w:lineRule="auto"/>
        <w:rPr>
          <w:rFonts w:ascii="TimesNewRoman" w:cs="TimesNewRoman"/>
          <w:color w:val="000000"/>
          <w:sz w:val="24"/>
          <w:szCs w:val="24"/>
        </w:rPr>
      </w:pPr>
      <w:proofErr w:type="gramStart"/>
      <w:r>
        <w:rPr>
          <w:rFonts w:ascii="TimesNewRoman" w:cs="TimesNewRoman"/>
          <w:color w:val="000000"/>
          <w:sz w:val="16"/>
          <w:szCs w:val="16"/>
        </w:rPr>
        <w:t>3-</w:t>
      </w:r>
      <w:r>
        <w:rPr>
          <w:rFonts w:ascii="TimesNewRoman" w:cs="TimesNewRoman"/>
          <w:color w:val="000000"/>
          <w:sz w:val="24"/>
          <w:szCs w:val="24"/>
        </w:rPr>
        <w:t>Food Science and Human N</w:t>
      </w:r>
      <w:bookmarkStart w:id="0" w:name="_GoBack"/>
      <w:bookmarkEnd w:id="0"/>
      <w:r>
        <w:rPr>
          <w:rFonts w:ascii="TimesNewRoman" w:cs="TimesNewRoman"/>
          <w:color w:val="000000"/>
          <w:sz w:val="24"/>
          <w:szCs w:val="24"/>
        </w:rPr>
        <w:t xml:space="preserve">utrition Department, College of Applied and Health Sciences, </w:t>
      </w:r>
      <w:proofErr w:type="spellStart"/>
      <w:r>
        <w:rPr>
          <w:rFonts w:ascii="TimesNewRoman" w:cs="TimesNewRoman"/>
          <w:color w:val="000000"/>
          <w:sz w:val="24"/>
          <w:szCs w:val="24"/>
        </w:rPr>
        <w:t>A</w:t>
      </w:r>
      <w:r>
        <w:rPr>
          <w:rFonts w:ascii="TimesNewRoman" w:cs="TimesNewRoman" w:hint="cs"/>
          <w:color w:val="000000"/>
          <w:sz w:val="24"/>
          <w:szCs w:val="24"/>
        </w:rPr>
        <w:t>’</w:t>
      </w:r>
      <w:r>
        <w:rPr>
          <w:rFonts w:ascii="TimesNewRoman" w:cs="TimesNewRoman"/>
          <w:color w:val="000000"/>
          <w:sz w:val="24"/>
          <w:szCs w:val="24"/>
        </w:rPr>
        <w:t>Sharqiah</w:t>
      </w:r>
      <w:proofErr w:type="spellEnd"/>
      <w:r>
        <w:rPr>
          <w:rFonts w:ascii="TimesNewRoman" w:cs="TimesNewRoman"/>
          <w:color w:val="000000"/>
          <w:sz w:val="24"/>
          <w:szCs w:val="24"/>
        </w:rPr>
        <w:t xml:space="preserve"> University, P.O. Box 42, </w:t>
      </w:r>
      <w:proofErr w:type="spellStart"/>
      <w:r>
        <w:rPr>
          <w:rFonts w:ascii="TimesNewRoman" w:cs="TimesNewRoman"/>
          <w:color w:val="000000"/>
          <w:sz w:val="24"/>
          <w:szCs w:val="24"/>
        </w:rPr>
        <w:t>Ibra</w:t>
      </w:r>
      <w:proofErr w:type="spellEnd"/>
      <w:r>
        <w:rPr>
          <w:rFonts w:ascii="TimesNewRoman" w:cs="TimesNewRoman"/>
          <w:color w:val="000000"/>
          <w:sz w:val="24"/>
          <w:szCs w:val="24"/>
        </w:rPr>
        <w:t xml:space="preserve"> 400, Oman.</w:t>
      </w:r>
      <w:proofErr w:type="gramEnd"/>
    </w:p>
    <w:p w:rsidR="00AD6A25" w:rsidRPr="00AD6A25" w:rsidRDefault="00C87620" w:rsidP="00C87620">
      <w:pPr>
        <w:bidi w:val="0"/>
        <w:spacing w:line="360" w:lineRule="auto"/>
        <w:jc w:val="both"/>
        <w:rPr>
          <w:rFonts w:asciiTheme="majorBidi" w:hAnsiTheme="majorBidi" w:cstheme="majorBidi"/>
          <w:b/>
          <w:bCs/>
          <w:color w:val="000000" w:themeColor="text1"/>
          <w:sz w:val="24"/>
          <w:szCs w:val="24"/>
        </w:rPr>
      </w:pPr>
      <w:r>
        <w:rPr>
          <w:rFonts w:ascii="TimesNewRoman" w:cs="TimesNewRoman"/>
          <w:color w:val="000000"/>
          <w:sz w:val="24"/>
          <w:szCs w:val="24"/>
        </w:rPr>
        <w:br/>
      </w:r>
      <w:r w:rsidR="00AD6A25" w:rsidRPr="00AD6A25">
        <w:rPr>
          <w:rFonts w:asciiTheme="majorBidi" w:hAnsiTheme="majorBidi" w:cstheme="majorBidi"/>
          <w:b/>
          <w:bCs/>
          <w:color w:val="000000" w:themeColor="text1"/>
          <w:sz w:val="24"/>
          <w:szCs w:val="24"/>
        </w:rPr>
        <w:t xml:space="preserve">Abstract </w:t>
      </w:r>
    </w:p>
    <w:p w:rsidR="00AD6A25" w:rsidRDefault="00AD6A25" w:rsidP="00C87620">
      <w:pPr>
        <w:bidi w:val="0"/>
        <w:spacing w:line="360" w:lineRule="auto"/>
        <w:jc w:val="both"/>
        <w:rPr>
          <w:rFonts w:asciiTheme="majorBidi" w:hAnsiTheme="majorBidi" w:cstheme="majorBidi"/>
          <w:sz w:val="24"/>
          <w:szCs w:val="24"/>
        </w:rPr>
      </w:pPr>
      <w:r w:rsidRPr="00AD6A25">
        <w:rPr>
          <w:rFonts w:asciiTheme="majorBidi" w:hAnsiTheme="majorBidi" w:cstheme="majorBidi"/>
          <w:b/>
          <w:bCs/>
          <w:i/>
          <w:iCs/>
          <w:sz w:val="24"/>
          <w:szCs w:val="24"/>
        </w:rPr>
        <w:t>Background:</w:t>
      </w:r>
      <w:r w:rsidRPr="00AD6A25">
        <w:rPr>
          <w:rFonts w:asciiTheme="majorBidi" w:hAnsiTheme="majorBidi" w:cstheme="majorBidi"/>
          <w:sz w:val="24"/>
          <w:szCs w:val="24"/>
        </w:rPr>
        <w:t xml:space="preserve"> </w:t>
      </w:r>
      <w:r w:rsidRPr="00AD6A25">
        <w:rPr>
          <w:rFonts w:asciiTheme="majorBidi" w:hAnsiTheme="majorBidi" w:cstheme="majorBidi"/>
          <w:color w:val="000000" w:themeColor="text1"/>
          <w:sz w:val="24"/>
          <w:szCs w:val="24"/>
          <w:shd w:val="clear" w:color="auto" w:fill="FFFFFF"/>
        </w:rPr>
        <w:t>The gestational diabetes is yet another pregnancy complication to look out for and as a pregnant woman, gestational diabetes happens when the body fails to produce enough insulin</w:t>
      </w:r>
      <w:r>
        <w:rPr>
          <w:rFonts w:asciiTheme="majorBidi" w:hAnsiTheme="majorBidi" w:cstheme="majorBidi"/>
          <w:color w:val="000000" w:themeColor="text1"/>
          <w:sz w:val="24"/>
          <w:szCs w:val="24"/>
          <w:shd w:val="clear" w:color="auto" w:fill="FFFFFF"/>
        </w:rPr>
        <w:t xml:space="preserve"> to regulate the sugar in blood. </w:t>
      </w:r>
      <w:r w:rsidRPr="00AD6A25">
        <w:rPr>
          <w:rFonts w:asciiTheme="majorBidi" w:hAnsiTheme="majorBidi" w:cstheme="majorBidi"/>
          <w:color w:val="000000" w:themeColor="text1"/>
          <w:sz w:val="24"/>
          <w:szCs w:val="24"/>
        </w:rPr>
        <w:t>A healthy dietary regimen and eating behavior regarding gestation diabetes is a necessarily element to ensure the health and development of pregnancy stages.</w:t>
      </w:r>
      <w:r>
        <w:rPr>
          <w:rFonts w:asciiTheme="majorBidi" w:hAnsiTheme="majorBidi" w:cstheme="majorBidi"/>
          <w:color w:val="000000" w:themeColor="text1"/>
          <w:sz w:val="24"/>
          <w:szCs w:val="24"/>
        </w:rPr>
        <w:t xml:space="preserve"> </w:t>
      </w:r>
      <w:r w:rsidRPr="00AD6A25">
        <w:rPr>
          <w:rFonts w:asciiTheme="majorBidi" w:hAnsiTheme="majorBidi" w:cstheme="majorBidi"/>
          <w:b/>
          <w:bCs/>
          <w:i/>
          <w:iCs/>
          <w:color w:val="000000" w:themeColor="text1"/>
          <w:sz w:val="24"/>
          <w:szCs w:val="24"/>
        </w:rPr>
        <w:t>Objectives:</w:t>
      </w:r>
      <w:r w:rsidRPr="00AD6A25">
        <w:rPr>
          <w:rFonts w:asciiTheme="majorBidi" w:hAnsiTheme="majorBidi" w:cstheme="majorBidi"/>
          <w:b/>
          <w:bCs/>
          <w:color w:val="000000" w:themeColor="text1"/>
          <w:sz w:val="24"/>
          <w:szCs w:val="24"/>
        </w:rPr>
        <w:t xml:space="preserve"> </w:t>
      </w:r>
      <w:r w:rsidRPr="00AD6A25">
        <w:rPr>
          <w:rFonts w:asciiTheme="majorBidi" w:hAnsiTheme="majorBidi" w:cstheme="majorBidi"/>
          <w:color w:val="000000" w:themeColor="text1"/>
          <w:sz w:val="24"/>
          <w:szCs w:val="24"/>
        </w:rPr>
        <w:t xml:space="preserve">This study was conducted to assess nutrition patterns of gestation diabetes, </w:t>
      </w:r>
      <w:r>
        <w:rPr>
          <w:rFonts w:asciiTheme="majorBidi" w:hAnsiTheme="majorBidi" w:cstheme="majorBidi"/>
          <w:color w:val="000000" w:themeColor="text1"/>
          <w:sz w:val="24"/>
          <w:szCs w:val="24"/>
        </w:rPr>
        <w:t>to correlate</w:t>
      </w:r>
      <w:r w:rsidRPr="00AD6A25">
        <w:rPr>
          <w:rFonts w:asciiTheme="majorBidi" w:hAnsiTheme="majorBidi" w:cstheme="majorBidi"/>
          <w:color w:val="000000" w:themeColor="text1"/>
          <w:sz w:val="24"/>
          <w:szCs w:val="24"/>
        </w:rPr>
        <w:t xml:space="preserve"> fasting blood glucose and HbA1c with anth</w:t>
      </w:r>
      <w:r w:rsidR="00B23333">
        <w:rPr>
          <w:rFonts w:asciiTheme="majorBidi" w:hAnsiTheme="majorBidi" w:cstheme="majorBidi"/>
          <w:color w:val="000000" w:themeColor="text1"/>
          <w:sz w:val="24"/>
          <w:szCs w:val="24"/>
        </w:rPr>
        <w:t>ropometric measurements, age,</w:t>
      </w:r>
      <w:r w:rsidRPr="00AD6A25">
        <w:rPr>
          <w:rFonts w:asciiTheme="majorBidi" w:hAnsiTheme="majorBidi" w:cstheme="majorBidi"/>
          <w:color w:val="000000" w:themeColor="text1"/>
          <w:sz w:val="24"/>
          <w:szCs w:val="24"/>
        </w:rPr>
        <w:t xml:space="preserve"> lifestyle and diet regimen </w:t>
      </w:r>
      <w:r>
        <w:rPr>
          <w:rFonts w:asciiTheme="majorBidi" w:hAnsiTheme="majorBidi" w:cstheme="majorBidi"/>
          <w:color w:val="000000" w:themeColor="text1"/>
          <w:sz w:val="24"/>
          <w:szCs w:val="24"/>
        </w:rPr>
        <w:t>of</w:t>
      </w:r>
      <w:r w:rsidR="00B23333">
        <w:rPr>
          <w:rFonts w:asciiTheme="majorBidi" w:hAnsiTheme="majorBidi" w:cstheme="majorBidi"/>
          <w:color w:val="000000" w:themeColor="text1"/>
          <w:sz w:val="24"/>
          <w:szCs w:val="24"/>
        </w:rPr>
        <w:t xml:space="preserve"> maternal with</w:t>
      </w:r>
      <w:r w:rsidRPr="00AD6A25">
        <w:rPr>
          <w:rFonts w:asciiTheme="majorBidi" w:hAnsiTheme="majorBidi" w:cstheme="majorBidi"/>
          <w:color w:val="000000" w:themeColor="text1"/>
          <w:sz w:val="24"/>
          <w:szCs w:val="24"/>
        </w:rPr>
        <w:t xml:space="preserve"> GD </w:t>
      </w:r>
      <w:r w:rsidR="00B23333">
        <w:rPr>
          <w:rFonts w:asciiTheme="majorBidi" w:hAnsiTheme="majorBidi" w:cstheme="majorBidi"/>
          <w:color w:val="000000" w:themeColor="text1"/>
          <w:sz w:val="24"/>
          <w:szCs w:val="24"/>
        </w:rPr>
        <w:t xml:space="preserve">at </w:t>
      </w:r>
      <w:r w:rsidRPr="00AD6A25">
        <w:rPr>
          <w:rFonts w:asciiTheme="majorBidi" w:hAnsiTheme="majorBidi" w:cstheme="majorBidi"/>
          <w:color w:val="000000" w:themeColor="text1"/>
          <w:sz w:val="24"/>
          <w:szCs w:val="24"/>
        </w:rPr>
        <w:t>Misurata.</w:t>
      </w:r>
      <w:r w:rsidR="00B23333">
        <w:rPr>
          <w:rFonts w:asciiTheme="majorBidi" w:hAnsiTheme="majorBidi" w:cstheme="majorBidi"/>
          <w:color w:val="000000" w:themeColor="text1"/>
          <w:sz w:val="24"/>
          <w:szCs w:val="24"/>
        </w:rPr>
        <w:t xml:space="preserve"> </w:t>
      </w:r>
      <w:r w:rsidRPr="00AD6A25">
        <w:rPr>
          <w:rFonts w:asciiTheme="majorBidi" w:hAnsiTheme="majorBidi" w:cstheme="majorBidi"/>
          <w:b/>
          <w:bCs/>
          <w:i/>
          <w:iCs/>
          <w:color w:val="000000" w:themeColor="text1"/>
          <w:sz w:val="24"/>
          <w:szCs w:val="24"/>
        </w:rPr>
        <w:t>Materials and methods</w:t>
      </w:r>
      <w:r w:rsidRPr="00AD6A25">
        <w:rPr>
          <w:rFonts w:asciiTheme="majorBidi" w:hAnsiTheme="majorBidi" w:cstheme="majorBidi"/>
          <w:i/>
          <w:iCs/>
          <w:color w:val="000000" w:themeColor="text1"/>
          <w:sz w:val="24"/>
          <w:szCs w:val="24"/>
        </w:rPr>
        <w:t>:</w:t>
      </w:r>
      <w:r w:rsidRPr="00AD6A25">
        <w:rPr>
          <w:rFonts w:asciiTheme="majorBidi" w:hAnsiTheme="majorBidi" w:cstheme="majorBidi"/>
          <w:color w:val="000000" w:themeColor="text1"/>
          <w:sz w:val="24"/>
          <w:szCs w:val="24"/>
        </w:rPr>
        <w:t xml:space="preserve"> Hospital-based cross section study was performed on 150 participants, whose selected randomly </w:t>
      </w:r>
      <w:r w:rsidR="00B23333">
        <w:rPr>
          <w:rFonts w:asciiTheme="majorBidi" w:hAnsiTheme="majorBidi" w:cstheme="majorBidi"/>
          <w:color w:val="000000" w:themeColor="text1"/>
          <w:sz w:val="24"/>
          <w:szCs w:val="24"/>
        </w:rPr>
        <w:t>from</w:t>
      </w:r>
      <w:r w:rsidRPr="00AD6A25">
        <w:rPr>
          <w:rFonts w:asciiTheme="majorBidi" w:hAnsiTheme="majorBidi" w:cstheme="majorBidi"/>
          <w:color w:val="000000" w:themeColor="text1"/>
          <w:sz w:val="24"/>
          <w:szCs w:val="24"/>
        </w:rPr>
        <w:t xml:space="preserve"> Ob. and Gyn. Clinics, </w:t>
      </w:r>
      <w:r w:rsidR="00B23333">
        <w:rPr>
          <w:rFonts w:asciiTheme="majorBidi" w:hAnsiTheme="majorBidi" w:cstheme="majorBidi"/>
          <w:color w:val="000000" w:themeColor="text1"/>
          <w:sz w:val="24"/>
          <w:szCs w:val="24"/>
        </w:rPr>
        <w:t xml:space="preserve">in </w:t>
      </w:r>
      <w:r w:rsidRPr="00AD6A25">
        <w:rPr>
          <w:rFonts w:asciiTheme="majorBidi" w:hAnsiTheme="majorBidi" w:cstheme="majorBidi"/>
          <w:color w:val="000000" w:themeColor="text1"/>
          <w:sz w:val="24"/>
          <w:szCs w:val="24"/>
        </w:rPr>
        <w:t>March 2022. The data were collected thoroughly face to face interview, where well-structured questionnaire, patient record and anthropometric measu</w:t>
      </w:r>
      <w:r w:rsidR="00B23333">
        <w:rPr>
          <w:rFonts w:asciiTheme="majorBidi" w:hAnsiTheme="majorBidi" w:cstheme="majorBidi"/>
          <w:color w:val="000000" w:themeColor="text1"/>
          <w:sz w:val="24"/>
          <w:szCs w:val="24"/>
        </w:rPr>
        <w:t xml:space="preserve">rements used during the survey. </w:t>
      </w:r>
      <w:r w:rsidRPr="00AD6A25">
        <w:rPr>
          <w:rFonts w:asciiTheme="majorBidi" w:hAnsiTheme="majorBidi" w:cstheme="majorBidi"/>
          <w:b/>
          <w:bCs/>
          <w:i/>
          <w:iCs/>
          <w:color w:val="000000" w:themeColor="text1"/>
          <w:sz w:val="24"/>
          <w:szCs w:val="24"/>
        </w:rPr>
        <w:t>Result and discussion</w:t>
      </w:r>
      <w:r w:rsidRPr="00AD6A25">
        <w:rPr>
          <w:rFonts w:asciiTheme="majorBidi" w:hAnsiTheme="majorBidi" w:cstheme="majorBidi"/>
          <w:color w:val="000000" w:themeColor="text1"/>
          <w:sz w:val="24"/>
          <w:szCs w:val="24"/>
        </w:rPr>
        <w:t xml:space="preserve">: The majority of </w:t>
      </w:r>
      <w:r w:rsidRPr="00AD6A25">
        <w:rPr>
          <w:rFonts w:asciiTheme="majorBidi" w:eastAsia="Times New Roman" w:hAnsiTheme="majorBidi" w:cstheme="majorBidi"/>
          <w:color w:val="000000" w:themeColor="text1"/>
          <w:sz w:val="24"/>
          <w:szCs w:val="24"/>
        </w:rPr>
        <w:t>participants 68%</w:t>
      </w:r>
      <w:r w:rsidRPr="00AD6A25">
        <w:rPr>
          <w:rFonts w:asciiTheme="majorBidi" w:hAnsiTheme="majorBidi" w:cstheme="majorBidi"/>
          <w:color w:val="000000" w:themeColor="text1"/>
          <w:sz w:val="24"/>
          <w:szCs w:val="24"/>
        </w:rPr>
        <w:t xml:space="preserve"> were age group 20-35 years at third trimester 55%, whose</w:t>
      </w:r>
      <w:r w:rsidR="00184F57">
        <w:rPr>
          <w:rFonts w:asciiTheme="majorBidi" w:hAnsiTheme="majorBidi" w:cstheme="majorBidi"/>
          <w:color w:val="000000" w:themeColor="text1"/>
          <w:sz w:val="24"/>
          <w:szCs w:val="24"/>
        </w:rPr>
        <w:t xml:space="preserve"> (38%)</w:t>
      </w:r>
      <w:r w:rsidRPr="00AD6A25">
        <w:rPr>
          <w:rFonts w:asciiTheme="majorBidi" w:hAnsiTheme="majorBidi" w:cstheme="majorBidi"/>
          <w:color w:val="000000" w:themeColor="text1"/>
          <w:sz w:val="24"/>
          <w:szCs w:val="24"/>
        </w:rPr>
        <w:t xml:space="preserve"> had birth weight of baby w</w:t>
      </w:r>
      <w:r w:rsidR="00184F57">
        <w:rPr>
          <w:rFonts w:asciiTheme="majorBidi" w:hAnsiTheme="majorBidi" w:cstheme="majorBidi"/>
          <w:color w:val="000000" w:themeColor="text1"/>
          <w:sz w:val="24"/>
          <w:szCs w:val="24"/>
        </w:rPr>
        <w:t>ere</w:t>
      </w:r>
      <w:r w:rsidRPr="00AD6A25">
        <w:rPr>
          <w:rFonts w:asciiTheme="majorBidi" w:hAnsiTheme="majorBidi" w:cstheme="majorBidi"/>
          <w:color w:val="000000" w:themeColor="text1"/>
          <w:sz w:val="24"/>
          <w:szCs w:val="24"/>
        </w:rPr>
        <w:t xml:space="preserve"> 3.5-4 kg, </w:t>
      </w:r>
      <w:r w:rsidR="00184F57">
        <w:rPr>
          <w:rFonts w:asciiTheme="majorBidi" w:hAnsiTheme="majorBidi" w:cstheme="majorBidi"/>
          <w:color w:val="000000" w:themeColor="text1"/>
          <w:sz w:val="24"/>
          <w:szCs w:val="24"/>
        </w:rPr>
        <w:t xml:space="preserve">75% of maternal had </w:t>
      </w:r>
      <w:r w:rsidRPr="00AD6A25">
        <w:rPr>
          <w:rFonts w:asciiTheme="majorBidi" w:eastAsia="Times New Roman" w:hAnsiTheme="majorBidi" w:cstheme="majorBidi"/>
          <w:color w:val="000000" w:themeColor="text1"/>
          <w:sz w:val="24"/>
          <w:szCs w:val="24"/>
        </w:rPr>
        <w:t xml:space="preserve">family history </w:t>
      </w:r>
      <w:r w:rsidR="00184F57">
        <w:rPr>
          <w:rFonts w:asciiTheme="majorBidi" w:eastAsia="Times New Roman" w:hAnsiTheme="majorBidi" w:cstheme="majorBidi"/>
          <w:color w:val="000000" w:themeColor="text1"/>
          <w:sz w:val="24"/>
          <w:szCs w:val="24"/>
        </w:rPr>
        <w:t xml:space="preserve">with </w:t>
      </w:r>
      <w:r w:rsidRPr="00AD6A25">
        <w:rPr>
          <w:rFonts w:asciiTheme="majorBidi" w:eastAsia="Times New Roman" w:hAnsiTheme="majorBidi" w:cstheme="majorBidi"/>
          <w:color w:val="000000" w:themeColor="text1"/>
          <w:sz w:val="24"/>
          <w:szCs w:val="24"/>
        </w:rPr>
        <w:t xml:space="preserve">diabetes mellitus, </w:t>
      </w:r>
      <w:r w:rsidRPr="00AD6A25">
        <w:rPr>
          <w:rFonts w:asciiTheme="majorBidi" w:hAnsiTheme="majorBidi" w:cstheme="majorBidi"/>
          <w:color w:val="000000" w:themeColor="text1"/>
          <w:sz w:val="24"/>
          <w:szCs w:val="24"/>
        </w:rPr>
        <w:t>diagnosed with pol</w:t>
      </w:r>
      <w:r w:rsidR="00184F57">
        <w:rPr>
          <w:rFonts w:asciiTheme="majorBidi" w:hAnsiTheme="majorBidi" w:cstheme="majorBidi"/>
          <w:color w:val="000000" w:themeColor="text1"/>
          <w:sz w:val="24"/>
          <w:szCs w:val="24"/>
        </w:rPr>
        <w:t>ycystic ovary syndrome were 19%.</w:t>
      </w:r>
      <w:r w:rsidRPr="00AD6A25">
        <w:rPr>
          <w:rFonts w:asciiTheme="majorBidi" w:hAnsiTheme="majorBidi" w:cstheme="majorBidi"/>
          <w:color w:val="000000" w:themeColor="text1"/>
          <w:sz w:val="24"/>
          <w:szCs w:val="24"/>
        </w:rPr>
        <w:t xml:space="preserve"> </w:t>
      </w:r>
      <w:r w:rsidR="00184F57">
        <w:rPr>
          <w:rFonts w:asciiTheme="majorBidi" w:hAnsiTheme="majorBidi" w:cstheme="majorBidi"/>
          <w:color w:val="000000" w:themeColor="text1"/>
          <w:sz w:val="24"/>
          <w:szCs w:val="24"/>
        </w:rPr>
        <w:t>A</w:t>
      </w:r>
      <w:r w:rsidR="00184F57" w:rsidRPr="00AD6A25">
        <w:rPr>
          <w:rFonts w:asciiTheme="majorBidi" w:hAnsiTheme="majorBidi" w:cstheme="majorBidi"/>
          <w:color w:val="000000" w:themeColor="text1"/>
          <w:sz w:val="24"/>
          <w:szCs w:val="24"/>
        </w:rPr>
        <w:t>ccording to measurements of body mass</w:t>
      </w:r>
      <w:r w:rsidR="00184F57">
        <w:rPr>
          <w:rFonts w:asciiTheme="majorBidi" w:hAnsiTheme="majorBidi" w:cstheme="majorBidi"/>
          <w:color w:val="000000" w:themeColor="text1"/>
          <w:sz w:val="24"/>
          <w:szCs w:val="24"/>
        </w:rPr>
        <w:t>, obese</w:t>
      </w:r>
      <w:r w:rsidRPr="00AD6A25">
        <w:rPr>
          <w:rFonts w:asciiTheme="majorBidi" w:hAnsiTheme="majorBidi" w:cstheme="majorBidi"/>
          <w:color w:val="000000" w:themeColor="text1"/>
          <w:sz w:val="24"/>
          <w:szCs w:val="24"/>
        </w:rPr>
        <w:t xml:space="preserve"> participants were 72%. The results revealed that 84% of patients didn’t followed any diet regimen, whereas, 57% of participants were drinking sweetened beverage. </w:t>
      </w:r>
      <w:r w:rsidR="00184F57" w:rsidRPr="00AD6A25">
        <w:rPr>
          <w:rFonts w:asciiTheme="majorBidi" w:hAnsiTheme="majorBidi" w:cstheme="majorBidi"/>
          <w:color w:val="000000" w:themeColor="text1"/>
          <w:sz w:val="24"/>
          <w:szCs w:val="24"/>
        </w:rPr>
        <w:t>M</w:t>
      </w:r>
      <w:r w:rsidRPr="00AD6A25">
        <w:rPr>
          <w:rFonts w:asciiTheme="majorBidi" w:hAnsiTheme="majorBidi" w:cstheme="majorBidi"/>
          <w:color w:val="000000" w:themeColor="text1"/>
          <w:sz w:val="24"/>
          <w:szCs w:val="24"/>
        </w:rPr>
        <w:t xml:space="preserve">ajority of participants </w:t>
      </w:r>
      <w:r w:rsidR="00184F57">
        <w:rPr>
          <w:rFonts w:asciiTheme="majorBidi" w:hAnsiTheme="majorBidi" w:cstheme="majorBidi"/>
          <w:color w:val="000000" w:themeColor="text1"/>
          <w:sz w:val="24"/>
          <w:szCs w:val="24"/>
        </w:rPr>
        <w:t>78% had</w:t>
      </w:r>
      <w:r w:rsidRPr="00AD6A25">
        <w:rPr>
          <w:rFonts w:asciiTheme="majorBidi" w:hAnsiTheme="majorBidi" w:cstheme="majorBidi"/>
          <w:color w:val="000000" w:themeColor="text1"/>
          <w:sz w:val="24"/>
          <w:szCs w:val="24"/>
        </w:rPr>
        <w:t xml:space="preserve"> high</w:t>
      </w:r>
      <w:r w:rsidR="00184F57">
        <w:rPr>
          <w:rFonts w:asciiTheme="majorBidi" w:hAnsiTheme="majorBidi" w:cstheme="majorBidi"/>
          <w:color w:val="000000" w:themeColor="text1"/>
          <w:sz w:val="24"/>
          <w:szCs w:val="24"/>
        </w:rPr>
        <w:t>er</w:t>
      </w:r>
      <w:r w:rsidRPr="00AD6A25">
        <w:rPr>
          <w:rFonts w:asciiTheme="majorBidi" w:hAnsiTheme="majorBidi" w:cstheme="majorBidi"/>
          <w:color w:val="000000" w:themeColor="text1"/>
          <w:sz w:val="24"/>
          <w:szCs w:val="24"/>
        </w:rPr>
        <w:t xml:space="preserve"> fasting blood glucose (≥120 mg/dl). Whereas, </w:t>
      </w:r>
      <w:r w:rsidR="00184F57">
        <w:rPr>
          <w:rFonts w:asciiTheme="majorBidi" w:hAnsiTheme="majorBidi" w:cstheme="majorBidi"/>
          <w:color w:val="000000" w:themeColor="text1"/>
          <w:sz w:val="24"/>
          <w:szCs w:val="24"/>
        </w:rPr>
        <w:t xml:space="preserve">92% </w:t>
      </w:r>
      <w:r w:rsidRPr="00AD6A25">
        <w:rPr>
          <w:rFonts w:asciiTheme="majorBidi" w:hAnsiTheme="majorBidi" w:cstheme="majorBidi"/>
          <w:color w:val="000000" w:themeColor="text1"/>
          <w:sz w:val="24"/>
          <w:szCs w:val="24"/>
        </w:rPr>
        <w:t xml:space="preserve">who’s </w:t>
      </w:r>
      <w:r w:rsidR="00184F57">
        <w:rPr>
          <w:rFonts w:asciiTheme="majorBidi" w:hAnsiTheme="majorBidi" w:cstheme="majorBidi"/>
          <w:color w:val="000000" w:themeColor="text1"/>
          <w:sz w:val="24"/>
          <w:szCs w:val="24"/>
        </w:rPr>
        <w:t>had</w:t>
      </w:r>
      <w:r w:rsidRPr="00AD6A25">
        <w:rPr>
          <w:rFonts w:asciiTheme="majorBidi" w:hAnsiTheme="majorBidi" w:cstheme="majorBidi"/>
          <w:color w:val="000000" w:themeColor="text1"/>
          <w:sz w:val="24"/>
          <w:szCs w:val="24"/>
        </w:rPr>
        <w:t xml:space="preserve"> higher HbA1c (≥6.5%). Due to majority of participant’s had poor dietary pattern regarding </w:t>
      </w:r>
      <w:r w:rsidRPr="00AD6A25">
        <w:rPr>
          <w:rFonts w:asciiTheme="majorBidi" w:hAnsiTheme="majorBidi" w:cstheme="majorBidi"/>
          <w:color w:val="000000" w:themeColor="text1"/>
          <w:sz w:val="24"/>
          <w:szCs w:val="24"/>
        </w:rPr>
        <w:lastRenderedPageBreak/>
        <w:t xml:space="preserve">consumed high glycemic food. </w:t>
      </w:r>
      <w:r w:rsidR="0057087E">
        <w:rPr>
          <w:rFonts w:asciiTheme="majorBidi" w:hAnsiTheme="majorBidi" w:cstheme="majorBidi"/>
          <w:color w:val="000000" w:themeColor="text1"/>
          <w:sz w:val="24"/>
          <w:szCs w:val="24"/>
        </w:rPr>
        <w:t xml:space="preserve">The </w:t>
      </w:r>
      <w:r w:rsidRPr="00AD6A25">
        <w:rPr>
          <w:rFonts w:asciiTheme="majorBidi" w:hAnsiTheme="majorBidi" w:cstheme="majorBidi"/>
          <w:color w:val="000000" w:themeColor="text1"/>
          <w:sz w:val="24"/>
          <w:szCs w:val="24"/>
        </w:rPr>
        <w:t>majority of participants were eating junk food 83%, fatty meat and high fat diet 83%</w:t>
      </w:r>
      <w:r w:rsidR="0057087E">
        <w:rPr>
          <w:rFonts w:asciiTheme="majorBidi" w:hAnsiTheme="majorBidi" w:cstheme="majorBidi"/>
          <w:color w:val="000000" w:themeColor="text1"/>
          <w:sz w:val="24"/>
          <w:szCs w:val="24"/>
        </w:rPr>
        <w:t xml:space="preserve"> many times a week</w:t>
      </w:r>
      <w:r w:rsidRPr="00AD6A25">
        <w:rPr>
          <w:rFonts w:asciiTheme="majorBidi" w:hAnsiTheme="majorBidi" w:cstheme="majorBidi"/>
          <w:color w:val="000000" w:themeColor="text1"/>
          <w:sz w:val="24"/>
          <w:szCs w:val="24"/>
        </w:rPr>
        <w:t xml:space="preserve">. </w:t>
      </w:r>
      <w:r w:rsidRPr="00AD6A25">
        <w:rPr>
          <w:rFonts w:asciiTheme="majorBidi" w:eastAsia="Times New Roman" w:hAnsiTheme="majorBidi" w:cstheme="majorBidi"/>
          <w:color w:val="000000" w:themeColor="text1"/>
          <w:sz w:val="24"/>
          <w:szCs w:val="24"/>
        </w:rPr>
        <w:t>Higher significant correlation (</w:t>
      </w:r>
      <w:r w:rsidRPr="00AD6A25">
        <w:rPr>
          <w:rFonts w:asciiTheme="majorBidi" w:eastAsia="Times New Roman" w:hAnsiTheme="majorBidi" w:cstheme="majorBidi"/>
          <w:i/>
          <w:iCs/>
          <w:color w:val="000000" w:themeColor="text1"/>
          <w:sz w:val="24"/>
          <w:szCs w:val="24"/>
        </w:rPr>
        <w:t>P</w:t>
      </w:r>
      <w:r w:rsidRPr="00AD6A25">
        <w:rPr>
          <w:rFonts w:asciiTheme="majorBidi" w:eastAsia="Times New Roman" w:hAnsiTheme="majorBidi" w:cstheme="majorBidi"/>
          <w:color w:val="000000" w:themeColor="text1"/>
          <w:sz w:val="24"/>
          <w:szCs w:val="24"/>
        </w:rPr>
        <w:t>≤0.01)</w:t>
      </w:r>
      <w:r w:rsidR="00C578B7">
        <w:rPr>
          <w:rFonts w:asciiTheme="majorBidi" w:eastAsia="Times New Roman" w:hAnsiTheme="majorBidi" w:cstheme="majorBidi"/>
          <w:color w:val="000000" w:themeColor="text1"/>
          <w:sz w:val="24"/>
          <w:szCs w:val="24"/>
        </w:rPr>
        <w:t xml:space="preserve"> HbA1c and FBS</w:t>
      </w:r>
      <w:r w:rsidRPr="00AD6A25">
        <w:rPr>
          <w:rFonts w:asciiTheme="majorBidi" w:eastAsia="Times New Roman" w:hAnsiTheme="majorBidi" w:cstheme="majorBidi"/>
          <w:color w:val="000000" w:themeColor="text1"/>
          <w:sz w:val="24"/>
          <w:szCs w:val="24"/>
        </w:rPr>
        <w:t xml:space="preserve"> </w:t>
      </w:r>
      <w:r w:rsidR="00C578B7">
        <w:rPr>
          <w:rFonts w:asciiTheme="majorBidi" w:eastAsia="Times New Roman" w:hAnsiTheme="majorBidi" w:cstheme="majorBidi"/>
          <w:color w:val="000000" w:themeColor="text1"/>
          <w:sz w:val="24"/>
          <w:szCs w:val="24"/>
        </w:rPr>
        <w:t>with multi-pregnancies</w:t>
      </w:r>
      <w:r w:rsidRPr="00AD6A25">
        <w:rPr>
          <w:rFonts w:asciiTheme="majorBidi" w:eastAsia="Times New Roman" w:hAnsiTheme="majorBidi" w:cstheme="majorBidi"/>
          <w:color w:val="000000" w:themeColor="text1"/>
          <w:sz w:val="24"/>
          <w:szCs w:val="24"/>
        </w:rPr>
        <w:t xml:space="preserve">, age, </w:t>
      </w:r>
      <w:r w:rsidR="00C578B7">
        <w:rPr>
          <w:rFonts w:asciiTheme="majorBidi" w:eastAsia="Times New Roman" w:hAnsiTheme="majorBidi" w:cstheme="majorBidi"/>
          <w:color w:val="000000" w:themeColor="text1"/>
          <w:sz w:val="24"/>
          <w:szCs w:val="24"/>
        </w:rPr>
        <w:t>parity</w:t>
      </w:r>
      <w:r w:rsidRPr="00AD6A25">
        <w:rPr>
          <w:rFonts w:asciiTheme="majorBidi" w:eastAsia="Times New Roman" w:hAnsiTheme="majorBidi" w:cstheme="majorBidi"/>
          <w:color w:val="000000" w:themeColor="text1"/>
          <w:sz w:val="24"/>
          <w:szCs w:val="24"/>
        </w:rPr>
        <w:t>, weight of last baby and miscarriage. Whereas, a significant correlation (</w:t>
      </w:r>
      <w:r w:rsidRPr="00AD6A25">
        <w:rPr>
          <w:rFonts w:asciiTheme="majorBidi" w:eastAsia="Times New Roman" w:hAnsiTheme="majorBidi" w:cstheme="majorBidi"/>
          <w:i/>
          <w:iCs/>
          <w:color w:val="000000" w:themeColor="text1"/>
          <w:sz w:val="24"/>
          <w:szCs w:val="24"/>
        </w:rPr>
        <w:t>P</w:t>
      </w:r>
      <w:r w:rsidRPr="00AD6A25">
        <w:rPr>
          <w:rFonts w:asciiTheme="majorBidi" w:eastAsia="Times New Roman" w:hAnsiTheme="majorBidi" w:cstheme="majorBidi"/>
          <w:color w:val="000000" w:themeColor="text1"/>
          <w:sz w:val="24"/>
          <w:szCs w:val="24"/>
        </w:rPr>
        <w:t xml:space="preserve">≤0.05) between weight of last baby, income, age miscarriage, </w:t>
      </w:r>
      <w:r w:rsidR="00C578B7">
        <w:rPr>
          <w:rFonts w:asciiTheme="majorBidi" w:eastAsia="Times New Roman" w:hAnsiTheme="majorBidi" w:cstheme="majorBidi"/>
          <w:color w:val="000000" w:themeColor="text1"/>
          <w:sz w:val="24"/>
          <w:szCs w:val="24"/>
        </w:rPr>
        <w:t>multi-</w:t>
      </w:r>
      <w:r w:rsidRPr="00AD6A25">
        <w:rPr>
          <w:rFonts w:asciiTheme="majorBidi" w:eastAsia="Times New Roman" w:hAnsiTheme="majorBidi" w:cstheme="majorBidi"/>
          <w:color w:val="000000" w:themeColor="text1"/>
          <w:sz w:val="24"/>
          <w:szCs w:val="24"/>
        </w:rPr>
        <w:t>pregnancy, still birth and number of meals.</w:t>
      </w:r>
      <w:r w:rsidR="00C578B7">
        <w:rPr>
          <w:rFonts w:asciiTheme="majorBidi" w:eastAsia="Times New Roman" w:hAnsiTheme="majorBidi" w:cstheme="majorBidi"/>
          <w:color w:val="000000" w:themeColor="text1"/>
          <w:sz w:val="24"/>
          <w:szCs w:val="24"/>
        </w:rPr>
        <w:t xml:space="preserve"> </w:t>
      </w:r>
      <w:r w:rsidRPr="00AD6A25">
        <w:rPr>
          <w:rFonts w:asciiTheme="majorBidi" w:hAnsiTheme="majorBidi" w:cstheme="majorBidi"/>
          <w:b/>
          <w:bCs/>
          <w:i/>
          <w:iCs/>
          <w:color w:val="000000" w:themeColor="text1"/>
          <w:sz w:val="24"/>
          <w:szCs w:val="24"/>
        </w:rPr>
        <w:t>Conclusion</w:t>
      </w:r>
      <w:r w:rsidRPr="00AD6A25">
        <w:rPr>
          <w:rFonts w:asciiTheme="majorBidi" w:hAnsiTheme="majorBidi" w:cstheme="majorBidi"/>
          <w:i/>
          <w:iCs/>
          <w:color w:val="000000" w:themeColor="text1"/>
          <w:sz w:val="24"/>
          <w:szCs w:val="24"/>
        </w:rPr>
        <w:t>:</w:t>
      </w:r>
      <w:r w:rsidRPr="00AD6A25">
        <w:rPr>
          <w:rFonts w:asciiTheme="majorBidi" w:hAnsiTheme="majorBidi" w:cstheme="majorBidi"/>
          <w:color w:val="000000" w:themeColor="text1"/>
          <w:sz w:val="24"/>
          <w:szCs w:val="24"/>
        </w:rPr>
        <w:t xml:space="preserve"> </w:t>
      </w:r>
      <w:r w:rsidRPr="00AD6A25">
        <w:rPr>
          <w:rFonts w:asciiTheme="majorBidi" w:hAnsiTheme="majorBidi" w:cstheme="majorBidi"/>
          <w:sz w:val="24"/>
          <w:szCs w:val="24"/>
        </w:rPr>
        <w:t xml:space="preserve">The study concluded that the nutrition risks factors like poor dietary patterns and eating behavior associated gestation </w:t>
      </w:r>
      <w:proofErr w:type="gramStart"/>
      <w:r w:rsidRPr="00AD6A25">
        <w:rPr>
          <w:rFonts w:asciiTheme="majorBidi" w:hAnsiTheme="majorBidi" w:cstheme="majorBidi"/>
          <w:sz w:val="24"/>
          <w:szCs w:val="24"/>
        </w:rPr>
        <w:t>diabetes, that</w:t>
      </w:r>
      <w:proofErr w:type="gramEnd"/>
      <w:r w:rsidRPr="00AD6A25">
        <w:rPr>
          <w:rFonts w:asciiTheme="majorBidi" w:hAnsiTheme="majorBidi" w:cstheme="majorBidi"/>
          <w:sz w:val="24"/>
          <w:szCs w:val="24"/>
        </w:rPr>
        <w:t xml:space="preserve"> will be threatening health pregnancy unless the maternal has commi</w:t>
      </w:r>
      <w:r w:rsidR="00C578B7">
        <w:rPr>
          <w:rFonts w:asciiTheme="majorBidi" w:hAnsiTheme="majorBidi" w:cstheme="majorBidi"/>
          <w:sz w:val="24"/>
          <w:szCs w:val="24"/>
        </w:rPr>
        <w:t>tted with therapeutic diet plan</w:t>
      </w:r>
      <w:r w:rsidRPr="00AD6A25">
        <w:rPr>
          <w:rFonts w:asciiTheme="majorBidi" w:hAnsiTheme="majorBidi" w:cstheme="majorBidi"/>
          <w:sz w:val="24"/>
          <w:szCs w:val="24"/>
        </w:rPr>
        <w:t>.</w:t>
      </w:r>
    </w:p>
    <w:p w:rsidR="00C87620" w:rsidRPr="00474358" w:rsidRDefault="00C87620" w:rsidP="00C87620">
      <w:pPr>
        <w:bidi w:val="0"/>
        <w:spacing w:line="360" w:lineRule="auto"/>
        <w:jc w:val="both"/>
        <w:rPr>
          <w:rFonts w:asciiTheme="majorBidi" w:hAnsiTheme="majorBidi" w:cstheme="majorBidi"/>
          <w:color w:val="000000" w:themeColor="text1"/>
          <w:sz w:val="24"/>
          <w:szCs w:val="24"/>
        </w:rPr>
      </w:pPr>
      <w:r w:rsidRPr="00C87620">
        <w:rPr>
          <w:rFonts w:asciiTheme="majorBidi" w:hAnsiTheme="majorBidi" w:cstheme="majorBidi"/>
          <w:b/>
          <w:sz w:val="24"/>
          <w:szCs w:val="24"/>
        </w:rPr>
        <w:t>Biography</w:t>
      </w:r>
      <w:r>
        <w:rPr>
          <w:rFonts w:asciiTheme="majorBidi" w:hAnsiTheme="majorBidi" w:cstheme="majorBidi"/>
          <w:sz w:val="24"/>
          <w:szCs w:val="24"/>
        </w:rPr>
        <w:t>:</w:t>
      </w:r>
      <w:r w:rsidRPr="00C87620">
        <w:rPr>
          <w:rFonts w:asciiTheme="majorBidi" w:hAnsiTheme="majorBidi" w:cstheme="majorBidi"/>
          <w:sz w:val="24"/>
          <w:szCs w:val="24"/>
        </w:rPr>
        <w:t xml:space="preserve"> </w:t>
      </w:r>
      <w:r w:rsidRPr="00C87620">
        <w:rPr>
          <w:rFonts w:asciiTheme="majorBidi" w:hAnsiTheme="majorBidi" w:cstheme="majorBidi"/>
          <w:sz w:val="24"/>
          <w:szCs w:val="24"/>
        </w:rPr>
        <w:t xml:space="preserve">Dr. </w:t>
      </w:r>
      <w:proofErr w:type="spellStart"/>
      <w:r w:rsidRPr="00C87620">
        <w:rPr>
          <w:rFonts w:asciiTheme="majorBidi" w:hAnsiTheme="majorBidi" w:cstheme="majorBidi"/>
          <w:sz w:val="24"/>
          <w:szCs w:val="24"/>
        </w:rPr>
        <w:t>Ayman</w:t>
      </w:r>
      <w:proofErr w:type="spellEnd"/>
      <w:r w:rsidRPr="00C87620">
        <w:rPr>
          <w:rFonts w:asciiTheme="majorBidi" w:hAnsiTheme="majorBidi" w:cstheme="majorBidi"/>
          <w:sz w:val="24"/>
          <w:szCs w:val="24"/>
        </w:rPr>
        <w:t xml:space="preserve"> </w:t>
      </w:r>
      <w:proofErr w:type="spellStart"/>
      <w:r w:rsidRPr="00C87620">
        <w:rPr>
          <w:rFonts w:asciiTheme="majorBidi" w:hAnsiTheme="majorBidi" w:cstheme="majorBidi"/>
          <w:sz w:val="24"/>
          <w:szCs w:val="24"/>
        </w:rPr>
        <w:t>Balla</w:t>
      </w:r>
      <w:proofErr w:type="spellEnd"/>
      <w:r w:rsidRPr="00C87620">
        <w:rPr>
          <w:rFonts w:asciiTheme="majorBidi" w:hAnsiTheme="majorBidi" w:cstheme="majorBidi"/>
          <w:sz w:val="24"/>
          <w:szCs w:val="24"/>
        </w:rPr>
        <w:t xml:space="preserve"> Mustafa </w:t>
      </w:r>
      <w:proofErr w:type="spellStart"/>
      <w:r w:rsidRPr="00C87620">
        <w:rPr>
          <w:rFonts w:asciiTheme="majorBidi" w:hAnsiTheme="majorBidi" w:cstheme="majorBidi"/>
          <w:sz w:val="24"/>
          <w:szCs w:val="24"/>
        </w:rPr>
        <w:t>Yassien</w:t>
      </w:r>
      <w:proofErr w:type="spellEnd"/>
      <w:r>
        <w:rPr>
          <w:rFonts w:asciiTheme="majorBidi" w:hAnsiTheme="majorBidi" w:cstheme="majorBidi"/>
          <w:sz w:val="24"/>
          <w:szCs w:val="24"/>
        </w:rPr>
        <w:t xml:space="preserve"> </w:t>
      </w:r>
      <w:r w:rsidRPr="00C87620">
        <w:rPr>
          <w:rFonts w:asciiTheme="majorBidi" w:hAnsiTheme="majorBidi" w:cstheme="majorBidi"/>
          <w:sz w:val="24"/>
          <w:szCs w:val="24"/>
        </w:rPr>
        <w:t>Associate professor, Faculty of</w:t>
      </w:r>
      <w:r>
        <w:rPr>
          <w:rFonts w:asciiTheme="majorBidi" w:hAnsiTheme="majorBidi" w:cstheme="majorBidi"/>
          <w:sz w:val="24"/>
          <w:szCs w:val="24"/>
        </w:rPr>
        <w:t xml:space="preserve"> </w:t>
      </w:r>
      <w:r w:rsidRPr="00C87620">
        <w:rPr>
          <w:rFonts w:asciiTheme="majorBidi" w:hAnsiTheme="majorBidi" w:cstheme="majorBidi"/>
          <w:sz w:val="24"/>
          <w:szCs w:val="24"/>
        </w:rPr>
        <w:t>Health Sciences, University of</w:t>
      </w:r>
      <w:r>
        <w:rPr>
          <w:rFonts w:asciiTheme="majorBidi" w:hAnsiTheme="majorBidi" w:cstheme="majorBidi"/>
          <w:sz w:val="24"/>
          <w:szCs w:val="24"/>
        </w:rPr>
        <w:t xml:space="preserve"> </w:t>
      </w:r>
      <w:proofErr w:type="spellStart"/>
      <w:r w:rsidRPr="00C87620">
        <w:rPr>
          <w:rFonts w:asciiTheme="majorBidi" w:hAnsiTheme="majorBidi" w:cstheme="majorBidi"/>
          <w:sz w:val="24"/>
          <w:szCs w:val="24"/>
        </w:rPr>
        <w:t>Misurata</w:t>
      </w:r>
      <w:proofErr w:type="spellEnd"/>
      <w:r>
        <w:rPr>
          <w:rFonts w:asciiTheme="majorBidi" w:hAnsiTheme="majorBidi" w:cstheme="majorBidi"/>
          <w:sz w:val="24"/>
          <w:szCs w:val="24"/>
        </w:rPr>
        <w:t xml:space="preserve">, </w:t>
      </w:r>
      <w:r w:rsidRPr="00C87620">
        <w:rPr>
          <w:rFonts w:asciiTheme="majorBidi" w:hAnsiTheme="majorBidi" w:cstheme="majorBidi"/>
          <w:sz w:val="24"/>
          <w:szCs w:val="24"/>
        </w:rPr>
        <w:t>Libya</w:t>
      </w:r>
      <w:r>
        <w:rPr>
          <w:rFonts w:asciiTheme="majorBidi" w:hAnsiTheme="majorBidi" w:cstheme="majorBidi"/>
          <w:sz w:val="24"/>
          <w:szCs w:val="24"/>
        </w:rPr>
        <w:t xml:space="preserve">. His research interest areas are </w:t>
      </w:r>
      <w:r w:rsidRPr="00C87620">
        <w:rPr>
          <w:rFonts w:asciiTheme="majorBidi" w:hAnsiTheme="majorBidi" w:cstheme="majorBidi"/>
          <w:sz w:val="24"/>
          <w:szCs w:val="24"/>
        </w:rPr>
        <w:t xml:space="preserve">Nutrition sciences, dietetic and diet therapy, dairy nutrition, nutrition assessment and surveillance, diary sciences and milk biochemistry, mineral imbalance and deficiency, nutritional and medicinal properties of camel milk, dairy production and farming, food crises and </w:t>
      </w:r>
      <w:proofErr w:type="spellStart"/>
      <w:r w:rsidRPr="00C87620">
        <w:rPr>
          <w:rFonts w:asciiTheme="majorBidi" w:hAnsiTheme="majorBidi" w:cstheme="majorBidi"/>
          <w:sz w:val="24"/>
          <w:szCs w:val="24"/>
        </w:rPr>
        <w:t>securityinternational</w:t>
      </w:r>
      <w:proofErr w:type="spellEnd"/>
      <w:r w:rsidRPr="00C87620">
        <w:rPr>
          <w:rFonts w:asciiTheme="majorBidi" w:hAnsiTheme="majorBidi" w:cstheme="majorBidi"/>
          <w:sz w:val="24"/>
          <w:szCs w:val="24"/>
        </w:rPr>
        <w:t xml:space="preserve"> health and nutrition, community livelihood and malnutrition</w:t>
      </w:r>
      <w:r w:rsidRPr="00C87620">
        <w:rPr>
          <w:rFonts w:asciiTheme="majorBidi" w:hAnsiTheme="majorBidi" w:cstheme="majorBidi"/>
          <w:sz w:val="24"/>
          <w:szCs w:val="24"/>
        </w:rPr>
        <w:t>. His</w:t>
      </w:r>
      <w:r w:rsidRPr="00C87620">
        <w:rPr>
          <w:rFonts w:asciiTheme="majorBidi" w:hAnsiTheme="majorBidi" w:cstheme="majorBidi"/>
          <w:sz w:val="24"/>
          <w:szCs w:val="24"/>
        </w:rPr>
        <w:t xml:space="preserve"> research interests reflect in </w:t>
      </w:r>
      <w:r w:rsidRPr="00C87620">
        <w:rPr>
          <w:rFonts w:asciiTheme="majorBidi" w:hAnsiTheme="majorBidi" w:cstheme="majorBidi"/>
          <w:sz w:val="24"/>
          <w:szCs w:val="24"/>
        </w:rPr>
        <w:t>his</w:t>
      </w:r>
      <w:r w:rsidRPr="00C87620">
        <w:rPr>
          <w:rFonts w:asciiTheme="majorBidi" w:hAnsiTheme="majorBidi" w:cstheme="majorBidi"/>
          <w:sz w:val="24"/>
          <w:szCs w:val="24"/>
        </w:rPr>
        <w:t xml:space="preserve"> wide range of </w:t>
      </w:r>
      <w:r w:rsidRPr="00C87620">
        <w:rPr>
          <w:rFonts w:asciiTheme="majorBidi" w:hAnsiTheme="majorBidi" w:cstheme="majorBidi"/>
          <w:sz w:val="24"/>
          <w:szCs w:val="24"/>
        </w:rPr>
        <w:t>publications</w:t>
      </w:r>
      <w:r w:rsidRPr="00C87620">
        <w:rPr>
          <w:rFonts w:asciiTheme="majorBidi" w:hAnsiTheme="majorBidi" w:cstheme="majorBidi"/>
          <w:sz w:val="24"/>
          <w:szCs w:val="24"/>
        </w:rPr>
        <w:t xml:space="preserve"> in various national and international journals</w:t>
      </w:r>
      <w:r>
        <w:rPr>
          <w:rFonts w:ascii="Times New Roman" w:hAnsi="Times New Roman"/>
          <w:sz w:val="30"/>
          <w:szCs w:val="30"/>
        </w:rPr>
        <w:t>.</w:t>
      </w:r>
    </w:p>
    <w:p w:rsidR="00F16E37" w:rsidRPr="00AD6A25" w:rsidRDefault="00F16E37"/>
    <w:sectPr w:rsidR="00F16E37" w:rsidRPr="00AD6A2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A25"/>
    <w:rsid w:val="00184F57"/>
    <w:rsid w:val="00474358"/>
    <w:rsid w:val="0057087E"/>
    <w:rsid w:val="005F7582"/>
    <w:rsid w:val="00AD6A25"/>
    <w:rsid w:val="00B23333"/>
    <w:rsid w:val="00C578B7"/>
    <w:rsid w:val="00C87620"/>
    <w:rsid w:val="00F16E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A25"/>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A25"/>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79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3446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meintnursing</cp:lastModifiedBy>
  <cp:revision>2</cp:revision>
  <dcterms:created xsi:type="dcterms:W3CDTF">2023-01-28T04:09:00Z</dcterms:created>
  <dcterms:modified xsi:type="dcterms:W3CDTF">2023-01-28T04:09:00Z</dcterms:modified>
</cp:coreProperties>
</file>