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94BCC" w14:textId="5E8EEFAC" w:rsidR="00AE3E37" w:rsidRDefault="006F105B" w:rsidP="000534A1">
      <w:pPr>
        <w:pStyle w:val="Heading1"/>
        <w:spacing w:before="170"/>
        <w:ind w:left="0"/>
        <w:jc w:val="both"/>
      </w:pPr>
      <w:r>
        <w:rPr>
          <w:color w:val="337AB7"/>
        </w:rPr>
        <w:t>Cell Based and Biochemical Bioanalytical tools for Biosimilar Development</w:t>
      </w:r>
    </w:p>
    <w:p w14:paraId="29DDC33A" w14:textId="16B580DE" w:rsidR="005973B9" w:rsidRPr="006F105B" w:rsidRDefault="006F105B" w:rsidP="005973B9">
      <w:pPr>
        <w:pStyle w:val="BodyText"/>
        <w:spacing w:before="73" w:line="198" w:lineRule="exact"/>
        <w:ind w:left="100" w:right="5987"/>
        <w:rPr>
          <w:rFonts w:ascii="Arial"/>
          <w:lang w:val="it-IT"/>
        </w:rPr>
      </w:pPr>
      <w:r w:rsidRPr="006F105B">
        <w:rPr>
          <w:rFonts w:ascii="Arial"/>
          <w:lang w:val="it-IT"/>
        </w:rPr>
        <w:t>Steven Edenson, Promega Corporation, Madison WI USA</w:t>
      </w:r>
    </w:p>
    <w:p w14:paraId="3B97540C" w14:textId="77777777" w:rsidR="00AE3E37" w:rsidRPr="006F105B" w:rsidRDefault="00AE3E37">
      <w:pPr>
        <w:pStyle w:val="BodyText"/>
        <w:rPr>
          <w:rFonts w:ascii="Arial"/>
          <w:sz w:val="20"/>
          <w:lang w:val="it-IT"/>
        </w:rPr>
      </w:pPr>
    </w:p>
    <w:p w14:paraId="3780313E" w14:textId="77777777" w:rsidR="00AE3E37" w:rsidRPr="006F105B" w:rsidRDefault="00AE3E37">
      <w:pPr>
        <w:rPr>
          <w:rFonts w:ascii="Arial"/>
          <w:sz w:val="21"/>
          <w:lang w:val="it-IT"/>
        </w:rPr>
        <w:sectPr w:rsidR="00AE3E37" w:rsidRPr="006F105B" w:rsidSect="008E5477">
          <w:footerReference w:type="default" r:id="rId7"/>
          <w:type w:val="continuous"/>
          <w:pgSz w:w="11910" w:h="16840"/>
          <w:pgMar w:top="995" w:right="600" w:bottom="840" w:left="620" w:header="0" w:footer="0" w:gutter="0"/>
          <w:cols w:space="720"/>
          <w:docGrid w:linePitch="299"/>
        </w:sectPr>
      </w:pPr>
    </w:p>
    <w:p w14:paraId="4BEDEC0B"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66D4D47" w14:textId="77777777" w:rsidR="00F915FD" w:rsidRDefault="00F915FD" w:rsidP="00F915FD">
      <w:pPr>
        <w:rPr>
          <w:rFonts w:ascii="Calibri" w:eastAsiaTheme="minorEastAsia" w:hAnsi="Calibri" w:cs="Calibri"/>
        </w:rPr>
      </w:pPr>
      <w:r>
        <w:rPr>
          <w:rFonts w:ascii="Roboto" w:hAnsi="Roboto"/>
          <w:color w:val="333333"/>
          <w:spacing w:val="1"/>
          <w:sz w:val="27"/>
          <w:szCs w:val="27"/>
          <w:shd w:val="clear" w:color="auto" w:fill="FFFFFF"/>
        </w:rPr>
        <w:t xml:space="preserve">Biologic therapeutics have revolutionized the treatment of cancer and immune-mediated inflammatory diseases. As patent protections on innovator biologics expire, global drug manufacturers are ramping up the development of follow-on drugs known as biosimilars. These therapeutic agents are highly </w:t>
      </w:r>
      <w:proofErr w:type="gramStart"/>
      <w:r>
        <w:rPr>
          <w:rFonts w:ascii="Roboto" w:hAnsi="Roboto"/>
          <w:color w:val="333333"/>
          <w:spacing w:val="1"/>
          <w:sz w:val="27"/>
          <w:szCs w:val="27"/>
          <w:shd w:val="clear" w:color="auto" w:fill="FFFFFF"/>
        </w:rPr>
        <w:t>similar to</w:t>
      </w:r>
      <w:proofErr w:type="gramEnd"/>
      <w:r>
        <w:rPr>
          <w:rFonts w:ascii="Roboto" w:hAnsi="Roboto"/>
          <w:color w:val="333333"/>
          <w:spacing w:val="1"/>
          <w:sz w:val="27"/>
          <w:szCs w:val="27"/>
          <w:shd w:val="clear" w:color="auto" w:fill="FFFFFF"/>
        </w:rPr>
        <w:t xml:space="preserve"> the original patented biologic in structure and function. Because of the complex structure and inherently variable processes by which innovator biologic and biosimilar drugs are manufactured, robust characterization tools are essential. Biosimilar development</w:t>
      </w:r>
      <w:proofErr w:type="gramStart"/>
      <w:r>
        <w:rPr>
          <w:rFonts w:ascii="Roboto" w:hAnsi="Roboto"/>
          <w:color w:val="333333"/>
          <w:spacing w:val="1"/>
          <w:sz w:val="27"/>
          <w:szCs w:val="27"/>
          <w:shd w:val="clear" w:color="auto" w:fill="FFFFFF"/>
        </w:rPr>
        <w:t>, in particular, requires</w:t>
      </w:r>
      <w:proofErr w:type="gramEnd"/>
      <w:r>
        <w:rPr>
          <w:rFonts w:ascii="Roboto" w:hAnsi="Roboto"/>
          <w:color w:val="333333"/>
          <w:spacing w:val="1"/>
          <w:sz w:val="27"/>
          <w:szCs w:val="27"/>
          <w:shd w:val="clear" w:color="auto" w:fill="FFFFFF"/>
        </w:rPr>
        <w:t xml:space="preserve"> extensive analytical comparison of a drug’s structure and function to ensure </w:t>
      </w:r>
      <w:proofErr w:type="spellStart"/>
      <w:r>
        <w:rPr>
          <w:rFonts w:ascii="Roboto" w:hAnsi="Roboto"/>
          <w:color w:val="333333"/>
          <w:spacing w:val="1"/>
          <w:sz w:val="27"/>
          <w:szCs w:val="27"/>
          <w:shd w:val="clear" w:color="auto" w:fill="FFFFFF"/>
        </w:rPr>
        <w:t>biosimilarity</w:t>
      </w:r>
      <w:proofErr w:type="spellEnd"/>
      <w:r>
        <w:rPr>
          <w:rFonts w:ascii="Roboto" w:hAnsi="Roboto"/>
          <w:color w:val="333333"/>
          <w:spacing w:val="1"/>
          <w:sz w:val="27"/>
          <w:szCs w:val="27"/>
          <w:shd w:val="clear" w:color="auto" w:fill="FFFFFF"/>
        </w:rPr>
        <w:t xml:space="preserve"> to its reference product. This presentation will explore analytical tools that enable drug developers to bring these biosimilar products to market, thereby and ensuring patients have access to high-quality, cost-effective therapeutics. </w:t>
      </w:r>
    </w:p>
    <w:p w14:paraId="17E05C06" w14:textId="755D1943" w:rsidR="00AE3E37" w:rsidRPr="006F105B" w:rsidRDefault="00A9710C" w:rsidP="006F105B">
      <w:pPr>
        <w:pStyle w:val="Heading3"/>
        <w:spacing w:before="74"/>
        <w:ind w:left="0"/>
      </w:pPr>
      <w:r>
        <w:rPr>
          <w:b w:val="0"/>
        </w:rPr>
        <w:br w:type="column"/>
      </w:r>
    </w:p>
    <w:p w14:paraId="1537170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66126F6" w14:textId="77777777" w:rsidR="006F105B" w:rsidRDefault="006F105B" w:rsidP="006F105B">
      <w:pPr>
        <w:autoSpaceDE w:val="0"/>
        <w:autoSpaceDN w:val="0"/>
        <w:rPr>
          <w:rFonts w:ascii="Roboto-Bold" w:eastAsiaTheme="minorEastAsia" w:hAnsi="Roboto-Bold" w:cs="Calibri" w:hint="eastAsia"/>
          <w:b/>
          <w:bCs/>
          <w:color w:val="000000"/>
          <w:sz w:val="18"/>
          <w:szCs w:val="18"/>
        </w:rPr>
      </w:pPr>
      <w:r>
        <w:rPr>
          <w:rFonts w:ascii="Roboto-Bold" w:hAnsi="Roboto-Bold"/>
          <w:b/>
          <w:bCs/>
          <w:color w:val="000000"/>
          <w:sz w:val="18"/>
          <w:szCs w:val="18"/>
        </w:rPr>
        <w:t>The first World Health Organization International Standard for infliximab</w:t>
      </w:r>
    </w:p>
    <w:p w14:paraId="1820831C" w14:textId="77777777" w:rsidR="006F105B" w:rsidRDefault="006F105B" w:rsidP="006F105B">
      <w:pPr>
        <w:autoSpaceDE w:val="0"/>
        <w:autoSpaceDN w:val="0"/>
        <w:rPr>
          <w:rFonts w:ascii="Roboto-Bold" w:hAnsi="Roboto-Bold"/>
          <w:b/>
          <w:bCs/>
          <w:color w:val="000000"/>
          <w:sz w:val="18"/>
          <w:szCs w:val="18"/>
        </w:rPr>
      </w:pPr>
      <w:r>
        <w:rPr>
          <w:rFonts w:ascii="Roboto-Bold" w:hAnsi="Roboto-Bold"/>
          <w:b/>
          <w:bCs/>
          <w:color w:val="000000"/>
          <w:sz w:val="18"/>
          <w:szCs w:val="18"/>
        </w:rPr>
        <w:t xml:space="preserve">products: A step towards maintaining harmonized biological </w:t>
      </w:r>
      <w:proofErr w:type="gramStart"/>
      <w:r>
        <w:rPr>
          <w:rFonts w:ascii="Roboto-Bold" w:hAnsi="Roboto-Bold"/>
          <w:b/>
          <w:bCs/>
          <w:color w:val="000000"/>
          <w:sz w:val="18"/>
          <w:szCs w:val="18"/>
        </w:rPr>
        <w:t>activity</w:t>
      </w:r>
      <w:proofErr w:type="gramEnd"/>
    </w:p>
    <w:p w14:paraId="3252978C" w14:textId="77777777" w:rsidR="006F105B" w:rsidRDefault="006F105B" w:rsidP="006F105B">
      <w:pPr>
        <w:autoSpaceDE w:val="0"/>
        <w:autoSpaceDN w:val="0"/>
        <w:rPr>
          <w:rFonts w:ascii="Roboto-Regular" w:hAnsi="Roboto-Regular"/>
          <w:color w:val="000000"/>
          <w:sz w:val="18"/>
          <w:szCs w:val="18"/>
          <w:lang w:val="fr-FR"/>
        </w:rPr>
      </w:pPr>
      <w:r>
        <w:rPr>
          <w:rFonts w:ascii="Roboto-Regular" w:hAnsi="Roboto-Regular"/>
          <w:color w:val="000000"/>
          <w:sz w:val="18"/>
          <w:szCs w:val="18"/>
          <w:lang w:val="fr-FR"/>
        </w:rPr>
        <w:t xml:space="preserve">Metcalfe, C. et al. (2019) </w:t>
      </w:r>
      <w:proofErr w:type="spellStart"/>
      <w:r>
        <w:rPr>
          <w:rFonts w:ascii="Roboto-Italic" w:hAnsi="Roboto-Italic"/>
          <w:i/>
          <w:iCs/>
          <w:color w:val="000000"/>
          <w:sz w:val="18"/>
          <w:szCs w:val="18"/>
          <w:lang w:val="fr-FR"/>
        </w:rPr>
        <w:t>mAbs</w:t>
      </w:r>
      <w:proofErr w:type="spellEnd"/>
      <w:r>
        <w:rPr>
          <w:rFonts w:ascii="Roboto-Italic" w:hAnsi="Roboto-Italic"/>
          <w:i/>
          <w:iCs/>
          <w:color w:val="000000"/>
          <w:sz w:val="18"/>
          <w:szCs w:val="18"/>
          <w:lang w:val="fr-FR"/>
        </w:rPr>
        <w:t xml:space="preserve"> </w:t>
      </w:r>
      <w:r>
        <w:rPr>
          <w:rFonts w:ascii="Roboto-Bold" w:hAnsi="Roboto-Bold"/>
          <w:b/>
          <w:bCs/>
          <w:color w:val="000000"/>
          <w:sz w:val="18"/>
          <w:szCs w:val="18"/>
          <w:lang w:val="fr-FR"/>
        </w:rPr>
        <w:t>11</w:t>
      </w:r>
      <w:r>
        <w:rPr>
          <w:rFonts w:ascii="Roboto-Regular" w:hAnsi="Roboto-Regular"/>
          <w:color w:val="000000"/>
          <w:sz w:val="18"/>
          <w:szCs w:val="18"/>
          <w:lang w:val="fr-FR"/>
        </w:rPr>
        <w:t>, 13</w:t>
      </w:r>
      <w:r w:rsidRPr="006F105B">
        <w:rPr>
          <w:rFonts w:ascii="Roboto-Regular" w:hAnsi="Roboto-Regular"/>
          <w:color w:val="000000"/>
          <w:sz w:val="18"/>
          <w:szCs w:val="18"/>
          <w:lang w:val="fr-FR"/>
        </w:rPr>
        <w:t>–</w:t>
      </w:r>
      <w:r>
        <w:rPr>
          <w:rFonts w:ascii="Roboto-Regular" w:hAnsi="Roboto-Regular"/>
          <w:color w:val="000000"/>
          <w:sz w:val="18"/>
          <w:szCs w:val="18"/>
          <w:lang w:val="fr-FR"/>
        </w:rPr>
        <w:t>25</w:t>
      </w:r>
    </w:p>
    <w:p w14:paraId="258CAF8D" w14:textId="77777777" w:rsidR="006F105B" w:rsidRDefault="000B4975" w:rsidP="006F105B">
      <w:pPr>
        <w:rPr>
          <w:rFonts w:ascii="Roboto-Regular" w:hAnsi="Roboto-Regular"/>
          <w:sz w:val="18"/>
          <w:szCs w:val="18"/>
        </w:rPr>
      </w:pPr>
      <w:hyperlink r:id="rId8" w:history="1">
        <w:r w:rsidR="006F105B">
          <w:rPr>
            <w:rStyle w:val="Hyperlink"/>
            <w:rFonts w:ascii="Roboto-Regular" w:hAnsi="Roboto-Regular"/>
            <w:sz w:val="18"/>
            <w:szCs w:val="18"/>
          </w:rPr>
          <w:t>https://doi.org/10.1080/19420862.2018.1532766</w:t>
        </w:r>
      </w:hyperlink>
    </w:p>
    <w:p w14:paraId="213777F6" w14:textId="77777777" w:rsidR="006F105B" w:rsidRDefault="006F105B" w:rsidP="006F105B">
      <w:pPr>
        <w:rPr>
          <w:rFonts w:ascii="Roboto-Regular" w:hAnsi="Roboto-Regular"/>
          <w:sz w:val="18"/>
          <w:szCs w:val="18"/>
        </w:rPr>
      </w:pPr>
    </w:p>
    <w:p w14:paraId="6801D3A2" w14:textId="77777777" w:rsidR="006F105B" w:rsidRDefault="006F105B" w:rsidP="006F105B">
      <w:pPr>
        <w:autoSpaceDE w:val="0"/>
        <w:autoSpaceDN w:val="0"/>
        <w:rPr>
          <w:rFonts w:ascii="Roboto-Bold" w:hAnsi="Roboto-Bold"/>
          <w:b/>
          <w:bCs/>
          <w:color w:val="000000"/>
          <w:sz w:val="18"/>
          <w:szCs w:val="18"/>
        </w:rPr>
      </w:pPr>
      <w:r>
        <w:rPr>
          <w:rFonts w:ascii="Roboto-Bold" w:hAnsi="Roboto-Bold"/>
          <w:b/>
          <w:bCs/>
          <w:color w:val="000000"/>
          <w:sz w:val="18"/>
          <w:szCs w:val="18"/>
        </w:rPr>
        <w:t>Demonstrating analytical similarity of Trastuzumab biosimilar HLX02 to</w:t>
      </w:r>
    </w:p>
    <w:p w14:paraId="2920E1B1" w14:textId="77777777" w:rsidR="006F105B" w:rsidRDefault="006F105B" w:rsidP="006F105B">
      <w:pPr>
        <w:autoSpaceDE w:val="0"/>
        <w:autoSpaceDN w:val="0"/>
        <w:rPr>
          <w:rFonts w:ascii="Roboto-Bold" w:hAnsi="Roboto-Bold"/>
          <w:b/>
          <w:bCs/>
          <w:color w:val="000000"/>
          <w:sz w:val="18"/>
          <w:szCs w:val="18"/>
        </w:rPr>
      </w:pPr>
      <w:r>
        <w:rPr>
          <w:rFonts w:ascii="Roboto-Bold" w:hAnsi="Roboto-Bold"/>
          <w:b/>
          <w:bCs/>
          <w:color w:val="000000"/>
          <w:sz w:val="18"/>
          <w:szCs w:val="18"/>
        </w:rPr>
        <w:t xml:space="preserve">Herceptin® with a panel of sensitive and orthogonal methods including a </w:t>
      </w:r>
      <w:proofErr w:type="gramStart"/>
      <w:r>
        <w:rPr>
          <w:rFonts w:ascii="Roboto-Bold" w:hAnsi="Roboto-Bold"/>
          <w:b/>
          <w:bCs/>
          <w:color w:val="000000"/>
          <w:sz w:val="18"/>
          <w:szCs w:val="18"/>
        </w:rPr>
        <w:t>novel</w:t>
      </w:r>
      <w:proofErr w:type="gramEnd"/>
    </w:p>
    <w:p w14:paraId="6D7F1618" w14:textId="77777777" w:rsidR="006F105B" w:rsidRDefault="006F105B" w:rsidP="006F105B">
      <w:pPr>
        <w:autoSpaceDE w:val="0"/>
        <w:autoSpaceDN w:val="0"/>
        <w:rPr>
          <w:rFonts w:ascii="Roboto-Bold" w:hAnsi="Roboto-Bold"/>
          <w:b/>
          <w:bCs/>
          <w:color w:val="000000"/>
          <w:sz w:val="18"/>
          <w:szCs w:val="18"/>
        </w:rPr>
      </w:pPr>
      <w:proofErr w:type="spellStart"/>
      <w:r>
        <w:rPr>
          <w:rFonts w:ascii="Roboto-Bold" w:hAnsi="Roboto-Bold"/>
          <w:b/>
          <w:bCs/>
          <w:color w:val="000000"/>
          <w:sz w:val="18"/>
          <w:szCs w:val="18"/>
        </w:rPr>
        <w:t>FcγRIIIa</w:t>
      </w:r>
      <w:proofErr w:type="spellEnd"/>
      <w:r>
        <w:rPr>
          <w:rFonts w:ascii="Roboto-Bold" w:hAnsi="Roboto-Bold"/>
          <w:b/>
          <w:bCs/>
          <w:color w:val="000000"/>
          <w:sz w:val="18"/>
          <w:szCs w:val="18"/>
        </w:rPr>
        <w:t xml:space="preserve"> affinity chromatography technology</w:t>
      </w:r>
    </w:p>
    <w:p w14:paraId="3F7F8BE8" w14:textId="77777777" w:rsidR="006F105B" w:rsidRDefault="006F105B" w:rsidP="006F105B">
      <w:pPr>
        <w:autoSpaceDE w:val="0"/>
        <w:autoSpaceDN w:val="0"/>
        <w:rPr>
          <w:rFonts w:ascii="Roboto-Regular" w:hAnsi="Roboto-Regular"/>
          <w:color w:val="000000"/>
          <w:sz w:val="18"/>
          <w:szCs w:val="18"/>
        </w:rPr>
      </w:pPr>
      <w:proofErr w:type="spellStart"/>
      <w:r>
        <w:rPr>
          <w:rFonts w:ascii="Roboto-Regular" w:hAnsi="Roboto-Regular"/>
          <w:color w:val="000000"/>
          <w:sz w:val="18"/>
          <w:szCs w:val="18"/>
        </w:rPr>
        <w:t>Xie</w:t>
      </w:r>
      <w:proofErr w:type="spellEnd"/>
      <w:r>
        <w:rPr>
          <w:rFonts w:ascii="Roboto-Regular" w:hAnsi="Roboto-Regular"/>
          <w:color w:val="000000"/>
          <w:sz w:val="18"/>
          <w:szCs w:val="18"/>
        </w:rPr>
        <w:t xml:space="preserve">, l. et al. (2020) </w:t>
      </w:r>
      <w:proofErr w:type="spellStart"/>
      <w:r>
        <w:rPr>
          <w:rFonts w:ascii="Roboto-Italic" w:hAnsi="Roboto-Italic"/>
          <w:i/>
          <w:iCs/>
          <w:color w:val="000000"/>
          <w:sz w:val="18"/>
          <w:szCs w:val="18"/>
        </w:rPr>
        <w:t>BioDrugs</w:t>
      </w:r>
      <w:proofErr w:type="spellEnd"/>
      <w:r>
        <w:rPr>
          <w:rFonts w:ascii="Roboto-Italic" w:hAnsi="Roboto-Italic"/>
          <w:i/>
          <w:iCs/>
          <w:color w:val="000000"/>
          <w:sz w:val="18"/>
          <w:szCs w:val="18"/>
        </w:rPr>
        <w:t xml:space="preserve"> </w:t>
      </w:r>
      <w:r>
        <w:rPr>
          <w:rFonts w:ascii="Roboto-Bold" w:hAnsi="Roboto-Bold"/>
          <w:b/>
          <w:bCs/>
          <w:color w:val="000000"/>
          <w:sz w:val="18"/>
          <w:szCs w:val="18"/>
        </w:rPr>
        <w:t>34</w:t>
      </w:r>
      <w:r>
        <w:rPr>
          <w:rFonts w:ascii="Roboto-Regular" w:hAnsi="Roboto-Regular"/>
          <w:color w:val="000000"/>
          <w:sz w:val="18"/>
          <w:szCs w:val="18"/>
        </w:rPr>
        <w:t>, 363</w:t>
      </w:r>
      <w:r>
        <w:rPr>
          <w:rFonts w:ascii="Roboto-Regular" w:hAnsi="Roboto-Regular" w:hint="eastAsia"/>
          <w:color w:val="000000"/>
          <w:sz w:val="18"/>
          <w:szCs w:val="18"/>
        </w:rPr>
        <w:t>–</w:t>
      </w:r>
      <w:r>
        <w:rPr>
          <w:rFonts w:ascii="Roboto-Regular" w:hAnsi="Roboto-Regular"/>
          <w:color w:val="000000"/>
          <w:sz w:val="18"/>
          <w:szCs w:val="18"/>
        </w:rPr>
        <w:t>379</w:t>
      </w:r>
    </w:p>
    <w:p w14:paraId="1B27206B" w14:textId="77777777" w:rsidR="006F105B" w:rsidRDefault="000B4975" w:rsidP="006F105B">
      <w:pPr>
        <w:rPr>
          <w:rFonts w:ascii="Calibri" w:hAnsi="Calibri"/>
        </w:rPr>
      </w:pPr>
      <w:hyperlink r:id="rId9" w:history="1">
        <w:r w:rsidR="006F105B">
          <w:rPr>
            <w:rStyle w:val="Hyperlink"/>
            <w:rFonts w:ascii="Roboto-Regular" w:hAnsi="Roboto-Regular"/>
            <w:sz w:val="18"/>
            <w:szCs w:val="18"/>
          </w:rPr>
          <w:t>https://doi.org/10.1007/s40259-020-00407-0</w:t>
        </w:r>
      </w:hyperlink>
    </w:p>
    <w:p w14:paraId="47137A3E" w14:textId="77777777" w:rsidR="006F105B" w:rsidRDefault="006F105B" w:rsidP="006F105B"/>
    <w:p w14:paraId="51458067" w14:textId="77777777" w:rsidR="006F105B" w:rsidRDefault="006F105B" w:rsidP="006F105B">
      <w:pPr>
        <w:autoSpaceDE w:val="0"/>
        <w:autoSpaceDN w:val="0"/>
        <w:rPr>
          <w:rFonts w:ascii="Roboto-Bold" w:hAnsi="Roboto-Bold"/>
          <w:b/>
          <w:bCs/>
          <w:color w:val="000000"/>
          <w:sz w:val="18"/>
          <w:szCs w:val="18"/>
        </w:rPr>
      </w:pPr>
      <w:r>
        <w:rPr>
          <w:rFonts w:ascii="Roboto-Bold" w:hAnsi="Roboto-Bold"/>
          <w:b/>
          <w:bCs/>
          <w:color w:val="000000"/>
          <w:sz w:val="18"/>
          <w:szCs w:val="18"/>
        </w:rPr>
        <w:t xml:space="preserve">Differential influence of ADCP by different </w:t>
      </w:r>
      <w:proofErr w:type="spellStart"/>
      <w:r>
        <w:rPr>
          <w:rFonts w:ascii="Roboto-Bold" w:hAnsi="Roboto-Bold"/>
          <w:b/>
          <w:bCs/>
          <w:color w:val="000000"/>
          <w:sz w:val="18"/>
          <w:szCs w:val="18"/>
        </w:rPr>
        <w:t>glycoforms</w:t>
      </w:r>
      <w:proofErr w:type="spellEnd"/>
      <w:r>
        <w:rPr>
          <w:rFonts w:ascii="Roboto-Bold" w:hAnsi="Roboto-Bold"/>
          <w:b/>
          <w:bCs/>
          <w:color w:val="000000"/>
          <w:sz w:val="18"/>
          <w:szCs w:val="18"/>
        </w:rPr>
        <w:t xml:space="preserve"> on therapeutic</w:t>
      </w:r>
    </w:p>
    <w:p w14:paraId="725BCE20" w14:textId="77777777" w:rsidR="006F105B" w:rsidRDefault="006F105B" w:rsidP="006F105B">
      <w:pPr>
        <w:autoSpaceDE w:val="0"/>
        <w:autoSpaceDN w:val="0"/>
        <w:rPr>
          <w:rFonts w:ascii="Roboto-Bold" w:hAnsi="Roboto-Bold"/>
          <w:b/>
          <w:bCs/>
          <w:color w:val="000000"/>
          <w:sz w:val="18"/>
          <w:szCs w:val="18"/>
          <w:lang w:val="fr-FR"/>
        </w:rPr>
      </w:pPr>
      <w:proofErr w:type="gramStart"/>
      <w:r>
        <w:rPr>
          <w:rFonts w:ascii="Roboto-Bold" w:hAnsi="Roboto-Bold"/>
          <w:b/>
          <w:bCs/>
          <w:color w:val="000000"/>
          <w:sz w:val="18"/>
          <w:szCs w:val="18"/>
          <w:lang w:val="fr-FR"/>
        </w:rPr>
        <w:t>monoclonal</w:t>
      </w:r>
      <w:proofErr w:type="gramEnd"/>
      <w:r>
        <w:rPr>
          <w:rFonts w:ascii="Roboto-Bold" w:hAnsi="Roboto-Bold"/>
          <w:b/>
          <w:bCs/>
          <w:color w:val="000000"/>
          <w:sz w:val="18"/>
          <w:szCs w:val="18"/>
          <w:lang w:val="fr-FR"/>
        </w:rPr>
        <w:t xml:space="preserve"> </w:t>
      </w:r>
      <w:proofErr w:type="spellStart"/>
      <w:r>
        <w:rPr>
          <w:rFonts w:ascii="Roboto-Bold" w:hAnsi="Roboto-Bold"/>
          <w:b/>
          <w:bCs/>
          <w:color w:val="000000"/>
          <w:sz w:val="18"/>
          <w:szCs w:val="18"/>
          <w:lang w:val="fr-FR"/>
        </w:rPr>
        <w:t>antibodies</w:t>
      </w:r>
      <w:proofErr w:type="spellEnd"/>
    </w:p>
    <w:p w14:paraId="46FF923E" w14:textId="77777777" w:rsidR="006F105B" w:rsidRDefault="006F105B" w:rsidP="006F105B">
      <w:pPr>
        <w:autoSpaceDE w:val="0"/>
        <w:autoSpaceDN w:val="0"/>
        <w:rPr>
          <w:rFonts w:ascii="Roboto-Regular" w:hAnsi="Roboto-Regular"/>
          <w:color w:val="000000"/>
          <w:sz w:val="18"/>
          <w:szCs w:val="18"/>
        </w:rPr>
      </w:pPr>
      <w:r>
        <w:rPr>
          <w:rFonts w:ascii="Roboto-Regular" w:hAnsi="Roboto-Regular"/>
          <w:color w:val="000000"/>
          <w:sz w:val="18"/>
          <w:szCs w:val="18"/>
          <w:lang w:val="fr-FR"/>
        </w:rPr>
        <w:t xml:space="preserve">Kuhns, S. et al. </w:t>
      </w:r>
      <w:r>
        <w:rPr>
          <w:rFonts w:ascii="Roboto-Regular" w:hAnsi="Roboto-Regular"/>
          <w:color w:val="000000"/>
          <w:sz w:val="18"/>
          <w:szCs w:val="18"/>
        </w:rPr>
        <w:t xml:space="preserve">(2020) </w:t>
      </w:r>
      <w:r>
        <w:rPr>
          <w:rFonts w:ascii="Roboto-Italic" w:hAnsi="Roboto-Italic"/>
          <w:i/>
          <w:iCs/>
          <w:color w:val="000000"/>
          <w:sz w:val="18"/>
          <w:szCs w:val="18"/>
        </w:rPr>
        <w:t xml:space="preserve">J. </w:t>
      </w:r>
      <w:proofErr w:type="spellStart"/>
      <w:r>
        <w:rPr>
          <w:rFonts w:ascii="Roboto-Italic" w:hAnsi="Roboto-Italic"/>
          <w:i/>
          <w:iCs/>
          <w:color w:val="000000"/>
          <w:sz w:val="18"/>
          <w:szCs w:val="18"/>
        </w:rPr>
        <w:t>Biotechnol</w:t>
      </w:r>
      <w:proofErr w:type="spellEnd"/>
      <w:r>
        <w:rPr>
          <w:rFonts w:ascii="Roboto-Italic" w:hAnsi="Roboto-Italic"/>
          <w:i/>
          <w:iCs/>
          <w:color w:val="000000"/>
          <w:sz w:val="18"/>
          <w:szCs w:val="18"/>
        </w:rPr>
        <w:t xml:space="preserve">. </w:t>
      </w:r>
      <w:r>
        <w:rPr>
          <w:rFonts w:ascii="Roboto-Bold" w:hAnsi="Roboto-Bold"/>
          <w:b/>
          <w:bCs/>
          <w:color w:val="000000"/>
          <w:sz w:val="18"/>
          <w:szCs w:val="18"/>
        </w:rPr>
        <w:t>317</w:t>
      </w:r>
      <w:r>
        <w:rPr>
          <w:rFonts w:ascii="Roboto-Regular" w:hAnsi="Roboto-Regular"/>
          <w:color w:val="000000"/>
          <w:sz w:val="18"/>
          <w:szCs w:val="18"/>
        </w:rPr>
        <w:t>, 5</w:t>
      </w:r>
      <w:r>
        <w:rPr>
          <w:rFonts w:ascii="Roboto-Regular" w:hAnsi="Roboto-Regular" w:hint="eastAsia"/>
          <w:color w:val="000000"/>
          <w:sz w:val="18"/>
          <w:szCs w:val="18"/>
        </w:rPr>
        <w:t>–</w:t>
      </w:r>
      <w:r>
        <w:rPr>
          <w:rFonts w:ascii="Roboto-Regular" w:hAnsi="Roboto-Regular"/>
          <w:color w:val="000000"/>
          <w:sz w:val="18"/>
          <w:szCs w:val="18"/>
        </w:rPr>
        <w:t>15</w:t>
      </w:r>
    </w:p>
    <w:p w14:paraId="559A2EA9" w14:textId="77777777" w:rsidR="006F105B" w:rsidRDefault="000B4975" w:rsidP="006F105B">
      <w:pPr>
        <w:rPr>
          <w:rFonts w:ascii="Roboto-Regular" w:hAnsi="Roboto-Regular"/>
          <w:sz w:val="18"/>
          <w:szCs w:val="18"/>
        </w:rPr>
      </w:pPr>
      <w:hyperlink r:id="rId10" w:history="1">
        <w:r w:rsidR="006F105B">
          <w:rPr>
            <w:rStyle w:val="Hyperlink"/>
            <w:rFonts w:ascii="Roboto-Regular" w:hAnsi="Roboto-Regular"/>
            <w:sz w:val="18"/>
            <w:szCs w:val="18"/>
          </w:rPr>
          <w:t>https://doi.org/10.1016/j.jbiotec.2020.04.017</w:t>
        </w:r>
      </w:hyperlink>
    </w:p>
    <w:p w14:paraId="16FCF6F1" w14:textId="77777777" w:rsidR="006F105B" w:rsidRDefault="006F105B" w:rsidP="006F105B">
      <w:pPr>
        <w:rPr>
          <w:rFonts w:ascii="Roboto-Regular" w:hAnsi="Roboto-Regular"/>
          <w:sz w:val="18"/>
          <w:szCs w:val="18"/>
        </w:rPr>
      </w:pPr>
    </w:p>
    <w:p w14:paraId="019A4476" w14:textId="77777777" w:rsidR="006F105B" w:rsidRDefault="006F105B" w:rsidP="006F105B">
      <w:pPr>
        <w:autoSpaceDE w:val="0"/>
        <w:autoSpaceDN w:val="0"/>
        <w:rPr>
          <w:rFonts w:ascii="Roboto-Bold" w:hAnsi="Roboto-Bold"/>
          <w:b/>
          <w:bCs/>
          <w:color w:val="000000"/>
          <w:sz w:val="18"/>
          <w:szCs w:val="18"/>
        </w:rPr>
      </w:pPr>
      <w:r>
        <w:rPr>
          <w:rFonts w:ascii="Roboto-Bold" w:hAnsi="Roboto-Bold"/>
          <w:b/>
          <w:bCs/>
          <w:color w:val="000000"/>
          <w:sz w:val="18"/>
          <w:szCs w:val="18"/>
        </w:rPr>
        <w:t>Development and validation of a bioassay to evaluate binding of adalimumab to</w:t>
      </w:r>
    </w:p>
    <w:p w14:paraId="16410C3B" w14:textId="77777777" w:rsidR="006F105B" w:rsidRDefault="006F105B" w:rsidP="006F105B">
      <w:pPr>
        <w:autoSpaceDE w:val="0"/>
        <w:autoSpaceDN w:val="0"/>
        <w:rPr>
          <w:rFonts w:ascii="Roboto-Bold" w:hAnsi="Roboto-Bold"/>
          <w:b/>
          <w:bCs/>
          <w:color w:val="000000"/>
          <w:sz w:val="18"/>
          <w:szCs w:val="18"/>
        </w:rPr>
      </w:pPr>
      <w:r>
        <w:rPr>
          <w:rFonts w:ascii="Roboto-Bold" w:hAnsi="Roboto-Bold"/>
          <w:b/>
          <w:bCs/>
          <w:color w:val="000000"/>
          <w:sz w:val="18"/>
          <w:szCs w:val="18"/>
        </w:rPr>
        <w:t xml:space="preserve">cell </w:t>
      </w:r>
      <w:proofErr w:type="gramStart"/>
      <w:r>
        <w:rPr>
          <w:rFonts w:ascii="Roboto-Bold" w:hAnsi="Roboto-Bold"/>
          <w:b/>
          <w:bCs/>
          <w:color w:val="000000"/>
          <w:sz w:val="18"/>
          <w:szCs w:val="18"/>
        </w:rPr>
        <w:t>membrane-anchored</w:t>
      </w:r>
      <w:proofErr w:type="gramEnd"/>
      <w:r>
        <w:rPr>
          <w:rFonts w:ascii="Roboto-Bold" w:hAnsi="Roboto-Bold"/>
          <w:b/>
          <w:bCs/>
          <w:color w:val="000000"/>
          <w:sz w:val="18"/>
          <w:szCs w:val="18"/>
        </w:rPr>
        <w:t xml:space="preserve"> TNF</w:t>
      </w:r>
      <w:r>
        <w:rPr>
          <w:rFonts w:ascii="Cambria" w:hAnsi="Cambria"/>
          <w:color w:val="000000"/>
          <w:sz w:val="18"/>
          <w:szCs w:val="18"/>
        </w:rPr>
        <w:t>α</w:t>
      </w:r>
      <w:r>
        <w:rPr>
          <w:rFonts w:ascii="Roboto-Regular" w:hAnsi="Roboto-Regular"/>
          <w:color w:val="000000"/>
          <w:sz w:val="18"/>
          <w:szCs w:val="18"/>
        </w:rPr>
        <w:t xml:space="preserve"> </w:t>
      </w:r>
      <w:r>
        <w:rPr>
          <w:rFonts w:ascii="Roboto-Bold" w:hAnsi="Roboto-Bold"/>
          <w:b/>
          <w:bCs/>
          <w:color w:val="000000"/>
          <w:sz w:val="18"/>
          <w:szCs w:val="18"/>
        </w:rPr>
        <w:t>using flow cytometry detection</w:t>
      </w:r>
    </w:p>
    <w:p w14:paraId="587EF119" w14:textId="77777777" w:rsidR="006F105B" w:rsidRDefault="006F105B" w:rsidP="006F105B">
      <w:pPr>
        <w:autoSpaceDE w:val="0"/>
        <w:autoSpaceDN w:val="0"/>
        <w:rPr>
          <w:rFonts w:ascii="Roboto-Regular" w:hAnsi="Roboto-Regular"/>
          <w:color w:val="000000"/>
          <w:sz w:val="18"/>
          <w:szCs w:val="18"/>
        </w:rPr>
      </w:pPr>
      <w:r>
        <w:rPr>
          <w:rFonts w:ascii="Roboto-Regular" w:hAnsi="Roboto-Regular"/>
          <w:color w:val="000000"/>
          <w:sz w:val="18"/>
          <w:szCs w:val="18"/>
        </w:rPr>
        <w:t xml:space="preserve">Camacho-Sandoval, et al. (2018) </w:t>
      </w:r>
      <w:r>
        <w:rPr>
          <w:rFonts w:ascii="Roboto-Italic" w:hAnsi="Roboto-Italic"/>
          <w:i/>
          <w:iCs/>
          <w:color w:val="000000"/>
          <w:sz w:val="18"/>
          <w:szCs w:val="18"/>
        </w:rPr>
        <w:t xml:space="preserve">J. Pharm. Biomed. Anal. </w:t>
      </w:r>
      <w:r>
        <w:rPr>
          <w:rFonts w:ascii="Roboto-Bold" w:hAnsi="Roboto-Bold"/>
          <w:b/>
          <w:bCs/>
          <w:color w:val="000000"/>
          <w:sz w:val="18"/>
          <w:szCs w:val="18"/>
        </w:rPr>
        <w:t>155</w:t>
      </w:r>
      <w:r>
        <w:rPr>
          <w:rFonts w:ascii="Roboto-Regular" w:hAnsi="Roboto-Regular"/>
          <w:color w:val="000000"/>
          <w:sz w:val="18"/>
          <w:szCs w:val="18"/>
        </w:rPr>
        <w:t>, 235</w:t>
      </w:r>
      <w:r>
        <w:rPr>
          <w:rFonts w:ascii="Roboto-Regular" w:hAnsi="Roboto-Regular" w:hint="eastAsia"/>
          <w:color w:val="000000"/>
          <w:sz w:val="18"/>
          <w:szCs w:val="18"/>
        </w:rPr>
        <w:t>–</w:t>
      </w:r>
      <w:r>
        <w:rPr>
          <w:rFonts w:ascii="Roboto-Regular" w:hAnsi="Roboto-Regular"/>
          <w:color w:val="000000"/>
          <w:sz w:val="18"/>
          <w:szCs w:val="18"/>
        </w:rPr>
        <w:t>240</w:t>
      </w:r>
    </w:p>
    <w:p w14:paraId="18F4443B" w14:textId="77777777" w:rsidR="006F105B" w:rsidRDefault="000B4975" w:rsidP="006F105B">
      <w:pPr>
        <w:rPr>
          <w:rFonts w:ascii="Roboto-Regular" w:hAnsi="Roboto-Regular"/>
          <w:sz w:val="18"/>
          <w:szCs w:val="18"/>
        </w:rPr>
      </w:pPr>
      <w:hyperlink r:id="rId11" w:history="1">
        <w:r w:rsidR="006F105B">
          <w:rPr>
            <w:rStyle w:val="Hyperlink"/>
            <w:rFonts w:ascii="Roboto-Regular" w:hAnsi="Roboto-Regular"/>
            <w:sz w:val="18"/>
            <w:szCs w:val="18"/>
          </w:rPr>
          <w:t>https://doi.org/10.1016/j.jpba.2018.03.057</w:t>
        </w:r>
      </w:hyperlink>
    </w:p>
    <w:p w14:paraId="6DEA5C0E" w14:textId="77777777" w:rsidR="006F105B" w:rsidRDefault="006F105B" w:rsidP="006F105B">
      <w:pPr>
        <w:rPr>
          <w:rFonts w:ascii="Roboto-Regular" w:hAnsi="Roboto-Regular"/>
          <w:sz w:val="18"/>
          <w:szCs w:val="18"/>
        </w:rPr>
      </w:pPr>
    </w:p>
    <w:p w14:paraId="52DA7002" w14:textId="77777777" w:rsidR="006F105B" w:rsidRDefault="006F105B" w:rsidP="006F105B">
      <w:pPr>
        <w:autoSpaceDE w:val="0"/>
        <w:autoSpaceDN w:val="0"/>
        <w:rPr>
          <w:rFonts w:ascii="Roboto-Bold" w:hAnsi="Roboto-Bold"/>
          <w:b/>
          <w:bCs/>
          <w:color w:val="000000"/>
          <w:sz w:val="18"/>
          <w:szCs w:val="18"/>
        </w:rPr>
      </w:pPr>
      <w:r>
        <w:rPr>
          <w:rFonts w:ascii="Roboto-Bold" w:hAnsi="Roboto-Bold"/>
          <w:b/>
          <w:bCs/>
          <w:color w:val="000000"/>
          <w:sz w:val="18"/>
          <w:szCs w:val="18"/>
        </w:rPr>
        <w:t>Deciphering the interaction between neonatal Fc receptor and antibodies using a</w:t>
      </w:r>
    </w:p>
    <w:p w14:paraId="2107DE5C" w14:textId="77777777" w:rsidR="006F105B" w:rsidRDefault="006F105B" w:rsidP="006F105B">
      <w:pPr>
        <w:autoSpaceDE w:val="0"/>
        <w:autoSpaceDN w:val="0"/>
        <w:rPr>
          <w:rFonts w:ascii="Roboto-Bold" w:hAnsi="Roboto-Bold"/>
          <w:b/>
          <w:bCs/>
          <w:color w:val="000000"/>
          <w:sz w:val="18"/>
          <w:szCs w:val="18"/>
        </w:rPr>
      </w:pPr>
      <w:r>
        <w:rPr>
          <w:rFonts w:ascii="Roboto-Bold" w:hAnsi="Roboto-Bold"/>
          <w:b/>
          <w:bCs/>
          <w:color w:val="000000"/>
          <w:sz w:val="18"/>
          <w:szCs w:val="18"/>
        </w:rPr>
        <w:t>homogenous bioluminescent immunoassay.</w:t>
      </w:r>
    </w:p>
    <w:p w14:paraId="45EA3CE6" w14:textId="77777777" w:rsidR="006F105B" w:rsidRDefault="006F105B" w:rsidP="006F105B">
      <w:pPr>
        <w:autoSpaceDE w:val="0"/>
        <w:autoSpaceDN w:val="0"/>
        <w:rPr>
          <w:rFonts w:ascii="Roboto-Regular" w:hAnsi="Roboto-Regular"/>
          <w:color w:val="000000"/>
          <w:sz w:val="18"/>
          <w:szCs w:val="18"/>
        </w:rPr>
      </w:pPr>
      <w:r>
        <w:rPr>
          <w:rFonts w:ascii="Roboto-Regular" w:hAnsi="Roboto-Regular"/>
          <w:color w:val="000000"/>
          <w:sz w:val="18"/>
          <w:szCs w:val="18"/>
        </w:rPr>
        <w:t xml:space="preserve">Nath, N. et al. (2021) </w:t>
      </w:r>
      <w:r>
        <w:rPr>
          <w:rFonts w:ascii="Roboto-Italic" w:hAnsi="Roboto-Italic"/>
          <w:i/>
          <w:iCs/>
          <w:color w:val="000000"/>
          <w:sz w:val="18"/>
          <w:szCs w:val="18"/>
        </w:rPr>
        <w:t xml:space="preserve">J. Immunol. </w:t>
      </w:r>
      <w:r>
        <w:rPr>
          <w:rFonts w:ascii="Roboto-Bold" w:hAnsi="Roboto-Bold"/>
          <w:b/>
          <w:bCs/>
          <w:color w:val="000000"/>
          <w:sz w:val="18"/>
          <w:szCs w:val="18"/>
        </w:rPr>
        <w:t>207</w:t>
      </w:r>
      <w:r>
        <w:rPr>
          <w:rFonts w:ascii="Roboto-Regular" w:hAnsi="Roboto-Regular"/>
          <w:color w:val="000000"/>
          <w:sz w:val="18"/>
          <w:szCs w:val="18"/>
        </w:rPr>
        <w:t>(3), ji2100181</w:t>
      </w:r>
    </w:p>
    <w:p w14:paraId="462F165A" w14:textId="77777777" w:rsidR="006F105B" w:rsidRDefault="000B4975" w:rsidP="006F105B">
      <w:pPr>
        <w:rPr>
          <w:rFonts w:ascii="Calibri" w:hAnsi="Calibri"/>
        </w:rPr>
      </w:pPr>
      <w:hyperlink r:id="rId12" w:history="1">
        <w:r w:rsidR="006F105B">
          <w:rPr>
            <w:rStyle w:val="Hyperlink"/>
            <w:rFonts w:ascii="Roboto-Regular" w:hAnsi="Roboto-Regular"/>
            <w:sz w:val="18"/>
            <w:szCs w:val="18"/>
          </w:rPr>
          <w:t>https://doi.org/10.4049/jimmunol.2100181</w:t>
        </w:r>
      </w:hyperlink>
    </w:p>
    <w:p w14:paraId="5B0809DD" w14:textId="77777777" w:rsidR="00AE3E37" w:rsidRPr="008756E6" w:rsidRDefault="00AE3E37" w:rsidP="008756E6">
      <w:pPr>
        <w:tabs>
          <w:tab w:val="left" w:pos="384"/>
        </w:tabs>
        <w:ind w:right="117"/>
      </w:pPr>
    </w:p>
    <w:p w14:paraId="5E6F56D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062B9EF" w14:textId="77777777" w:rsidR="00AE3E37" w:rsidRDefault="00AE3E37">
      <w:pPr>
        <w:pStyle w:val="BodyText"/>
        <w:rPr>
          <w:rFonts w:ascii="Calibri"/>
          <w:sz w:val="20"/>
        </w:rPr>
      </w:pPr>
    </w:p>
    <w:p w14:paraId="16840B8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7C75B8" wp14:editId="6ABCF48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AE939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2B9E2C6" w14:textId="0BC91920" w:rsidR="00AE3E37" w:rsidRDefault="008756E6" w:rsidP="00404E5B">
      <w:pPr>
        <w:spacing w:before="92"/>
        <w:ind w:right="4234"/>
        <w:rPr>
          <w:rFonts w:ascii="Arial"/>
        </w:rPr>
      </w:pPr>
      <w:r>
        <w:rPr>
          <w:noProof/>
        </w:rPr>
        <w:t xml:space="preserve">              </w:t>
      </w:r>
      <w:r>
        <w:rPr>
          <w:noProof/>
        </w:rPr>
        <w:drawing>
          <wp:inline distT="0" distB="0" distL="0" distR="0" wp14:anchorId="4CEC1A78" wp14:editId="6DAA89B7">
            <wp:extent cx="593815"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3815"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00404E5B">
        <w:rPr>
          <w:rFonts w:ascii="Arial"/>
          <w:color w:val="BF5A14"/>
        </w:rPr>
        <w:lastRenderedPageBreak/>
        <w:t>(</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r w:rsidR="000B4975">
        <w:rPr>
          <w:rFonts w:ascii="Arial" w:hAnsi="Arial" w:cs="Arial"/>
          <w:noProof/>
          <w:color w:val="333333"/>
          <w:lang w:eastAsia="zh-CN"/>
        </w:rPr>
        <w:drawing>
          <wp:inline distT="0" distB="0" distL="0" distR="0" wp14:anchorId="28835785" wp14:editId="2E3D96A6">
            <wp:extent cx="952500" cy="914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952500" cy="914400"/>
                    </a:xfrm>
                    <a:prstGeom prst="rect">
                      <a:avLst/>
                    </a:prstGeom>
                    <a:noFill/>
                    <a:ln>
                      <a:noFill/>
                    </a:ln>
                  </pic:spPr>
                </pic:pic>
              </a:graphicData>
            </a:graphic>
          </wp:inline>
        </w:drawing>
      </w:r>
    </w:p>
    <w:p w14:paraId="70C77559" w14:textId="77777777" w:rsidR="00AE3E37" w:rsidRPr="00BA1C3F"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51C4C81" wp14:editId="49AFBC6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F0BE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EEDC1A8" w14:textId="77777777" w:rsidR="00AE3E37" w:rsidRPr="00BA1C3F" w:rsidRDefault="00AE3E37">
      <w:pPr>
        <w:pStyle w:val="BodyText"/>
        <w:rPr>
          <w:rFonts w:ascii="Arial"/>
          <w:sz w:val="20"/>
        </w:rPr>
      </w:pPr>
    </w:p>
    <w:p w14:paraId="298A6CC9" w14:textId="77777777" w:rsidR="00BA1C3F" w:rsidRDefault="00BA1C3F" w:rsidP="00BA1C3F">
      <w:pPr>
        <w:pStyle w:val="NormalWeb"/>
        <w:shd w:val="clear" w:color="auto" w:fill="FFFFFF"/>
        <w:spacing w:before="0" w:beforeAutospacing="0"/>
        <w:jc w:val="both"/>
        <w:rPr>
          <w:rFonts w:ascii="Arial" w:hAnsi="Arial" w:cs="Arial"/>
          <w:color w:val="948A54" w:themeColor="background2" w:themeShade="80"/>
          <w:kern w:val="24"/>
          <w:sz w:val="20"/>
          <w:szCs w:val="20"/>
          <w:lang w:val="en-US"/>
        </w:rPr>
      </w:pPr>
      <w:r>
        <w:rPr>
          <w:rFonts w:ascii="Arial" w:hAnsi="Arial" w:cs="Arial"/>
          <w:color w:val="948A54" w:themeColor="background2" w:themeShade="80"/>
          <w:kern w:val="24"/>
          <w:sz w:val="20"/>
          <w:szCs w:val="20"/>
          <w:lang w:val="en-US"/>
        </w:rPr>
        <w:t>Steve has been helping researchers with drug discovery challenges for 18 years by introducing them to novel unique technologies. His focus has mostly been on cell-based assays for both large and small molecule drug discovery and development. Prior to working in the life science products and services industry he worked for Amgen in the neuroscience department and the Howard Hughes Medical Institute at UCSF.</w:t>
      </w:r>
    </w:p>
    <w:p w14:paraId="722B1A47" w14:textId="77777777" w:rsidR="00AE3E37" w:rsidRPr="00BA1C3F" w:rsidRDefault="00AE3E37">
      <w:pPr>
        <w:pStyle w:val="BodyText"/>
        <w:rPr>
          <w:rFonts w:ascii="Arial"/>
          <w:sz w:val="20"/>
        </w:rPr>
      </w:pPr>
    </w:p>
    <w:p w14:paraId="7A9C043C" w14:textId="77777777" w:rsidR="00AE3E37" w:rsidRPr="00BA1C3F" w:rsidRDefault="00AE3E37">
      <w:pPr>
        <w:pStyle w:val="BodyText"/>
        <w:spacing w:before="7"/>
        <w:rPr>
          <w:rFonts w:ascii="Arial"/>
          <w:sz w:val="29"/>
        </w:rPr>
      </w:pPr>
    </w:p>
    <w:p w14:paraId="4E5B681C" w14:textId="77777777" w:rsidR="00AE3E37" w:rsidRPr="006F105B" w:rsidRDefault="00A9710C" w:rsidP="000534A1">
      <w:pPr>
        <w:spacing w:before="39"/>
        <w:ind w:left="100"/>
        <w:rPr>
          <w:rFonts w:ascii="Minion Pro"/>
          <w:b/>
          <w:sz w:val="20"/>
          <w:lang w:val="fr-FR"/>
        </w:rPr>
      </w:pPr>
      <w:r w:rsidRPr="006F105B">
        <w:rPr>
          <w:rFonts w:ascii="Minion Pro"/>
          <w:b/>
          <w:sz w:val="20"/>
          <w:lang w:val="fr-FR"/>
        </w:rPr>
        <w:t>Notes/</w:t>
      </w:r>
      <w:proofErr w:type="spellStart"/>
      <w:proofErr w:type="gramStart"/>
      <w:r w:rsidRPr="006F105B">
        <w:rPr>
          <w:rFonts w:ascii="Minion Pro"/>
          <w:b/>
          <w:sz w:val="20"/>
          <w:lang w:val="fr-FR"/>
        </w:rPr>
        <w:t>Comments</w:t>
      </w:r>
      <w:proofErr w:type="spellEnd"/>
      <w:r w:rsidRPr="006F105B">
        <w:rPr>
          <w:rFonts w:ascii="Minion Pro"/>
          <w:b/>
          <w:sz w:val="20"/>
          <w:lang w:val="fr-FR"/>
        </w:rPr>
        <w:t>:</w:t>
      </w:r>
      <w:proofErr w:type="gramEnd"/>
    </w:p>
    <w:p w14:paraId="23B5CCD2" w14:textId="77777777" w:rsidR="00EA7D51" w:rsidRPr="006F105B" w:rsidRDefault="00EA7D51" w:rsidP="000534A1">
      <w:pPr>
        <w:spacing w:before="39"/>
        <w:ind w:left="100"/>
        <w:rPr>
          <w:rFonts w:ascii="Minion Pro"/>
          <w:b/>
          <w:sz w:val="20"/>
          <w:lang w:val="fr-FR"/>
        </w:rPr>
      </w:pPr>
    </w:p>
    <w:p w14:paraId="107F552E" w14:textId="77777777" w:rsidR="00EA7D51" w:rsidRPr="006F105B" w:rsidRDefault="00EA7D51" w:rsidP="000534A1">
      <w:pPr>
        <w:spacing w:before="39"/>
        <w:ind w:left="100"/>
        <w:rPr>
          <w:rFonts w:ascii="Minion Pro"/>
          <w:b/>
          <w:sz w:val="20"/>
          <w:lang w:val="fr-FR"/>
        </w:rPr>
      </w:pPr>
    </w:p>
    <w:p w14:paraId="7FF384B9" w14:textId="3E929553"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BA1C3F">
        <w:rPr>
          <w:sz w:val="20"/>
          <w:szCs w:val="20"/>
          <w:lang w:val="en-NZ"/>
        </w:rPr>
        <w:t xml:space="preserve">Steven </w:t>
      </w:r>
      <w:r w:rsidR="00FF48CD">
        <w:rPr>
          <w:sz w:val="20"/>
          <w:szCs w:val="20"/>
          <w:lang w:val="en-NZ"/>
        </w:rPr>
        <w:t>Edenson</w:t>
      </w:r>
      <w:r w:rsidRPr="00F35A62">
        <w:rPr>
          <w:sz w:val="20"/>
          <w:szCs w:val="20"/>
          <w:lang w:val="en-NZ"/>
        </w:rPr>
        <w:br/>
        <w:t>Contact number:</w:t>
      </w:r>
      <w:r w:rsidR="00BA1C3F">
        <w:rPr>
          <w:sz w:val="20"/>
          <w:szCs w:val="20"/>
          <w:lang w:val="en-NZ"/>
        </w:rPr>
        <w:t>510-552-3194</w:t>
      </w:r>
      <w:r w:rsidRPr="00F35A62">
        <w:rPr>
          <w:sz w:val="20"/>
          <w:szCs w:val="20"/>
          <w:lang w:val="en-NZ"/>
        </w:rPr>
        <w:br/>
        <w:t>Twitter account:</w:t>
      </w:r>
      <w:r w:rsidRPr="00F35A62">
        <w:rPr>
          <w:sz w:val="20"/>
          <w:szCs w:val="20"/>
          <w:lang w:val="en-NZ"/>
        </w:rPr>
        <w:br/>
        <w:t>Linked In account:</w:t>
      </w:r>
      <w:r w:rsidR="00C6381A" w:rsidRPr="00C6381A">
        <w:t xml:space="preserve"> </w:t>
      </w:r>
      <w:proofErr w:type="gramStart"/>
      <w:r w:rsidR="00C6381A" w:rsidRPr="00C6381A">
        <w:rPr>
          <w:sz w:val="20"/>
          <w:szCs w:val="20"/>
          <w:lang w:val="en-NZ"/>
        </w:rPr>
        <w:t>https://www.linkedin.com/in/steve-edenson-5816011/</w:t>
      </w:r>
      <w:proofErr w:type="gramEnd"/>
    </w:p>
    <w:p w14:paraId="3C37A432" w14:textId="6147F60D"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663B84">
        <w:rPr>
          <w:sz w:val="20"/>
          <w:szCs w:val="20"/>
          <w:lang w:val="en-NZ"/>
        </w:rPr>
        <w:t xml:space="preserve">Chemical and Analytical </w:t>
      </w:r>
      <w:r w:rsidR="00B85B30">
        <w:rPr>
          <w:sz w:val="20"/>
          <w:szCs w:val="20"/>
          <w:lang w:val="en-NZ"/>
        </w:rPr>
        <w:t>Strategies for Biosimilars/Track2</w:t>
      </w:r>
      <w:r w:rsidRPr="00F35A62">
        <w:rPr>
          <w:sz w:val="20"/>
          <w:szCs w:val="20"/>
          <w:lang w:val="en-NZ"/>
        </w:rPr>
        <w:br/>
        <w:t>Category: (Oral presentation)</w:t>
      </w:r>
      <w:r w:rsidRPr="00F35A62">
        <w:rPr>
          <w:sz w:val="20"/>
          <w:szCs w:val="20"/>
          <w:lang w:val="en-NZ"/>
        </w:rPr>
        <w:br/>
      </w:r>
    </w:p>
    <w:p w14:paraId="3DA2D6B9"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2B1458C4"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2962C" w14:textId="77777777" w:rsidR="0006797A" w:rsidRDefault="0006797A">
      <w:r>
        <w:separator/>
      </w:r>
    </w:p>
  </w:endnote>
  <w:endnote w:type="continuationSeparator" w:id="0">
    <w:p w14:paraId="62C554CD" w14:textId="77777777"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Roboto-Bold">
    <w:altName w:val="Roboto"/>
    <w:charset w:val="00"/>
    <w:family w:val="auto"/>
    <w:pitch w:val="default"/>
  </w:font>
  <w:font w:name="Roboto-Regular">
    <w:altName w:val="Roboto"/>
    <w:charset w:val="00"/>
    <w:family w:val="auto"/>
    <w:pitch w:val="default"/>
  </w:font>
  <w:font w:name="Roboto-Italic">
    <w:altName w:val="Roboto"/>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69F2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22A4DCA" wp14:editId="2BF6F2F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2572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B7474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A4DCA"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762572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B7474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BD48BA7" wp14:editId="63FE5D4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D0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32B1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48BA7"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AFD0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32B1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04C93C8" wp14:editId="04CE1B3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BA35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AF7315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C93C8"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03BA35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AF7315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B25C3" w14:textId="77777777" w:rsidR="0006797A" w:rsidRDefault="0006797A">
      <w:r>
        <w:separator/>
      </w:r>
    </w:p>
  </w:footnote>
  <w:footnote w:type="continuationSeparator" w:id="0">
    <w:p w14:paraId="2964FA8A" w14:textId="77777777" w:rsidR="0006797A" w:rsidRDefault="00067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632637861">
    <w:abstractNumId w:val="0"/>
  </w:num>
  <w:num w:numId="2" w16cid:durableId="1974208018">
    <w:abstractNumId w:val="1"/>
  </w:num>
  <w:num w:numId="3" w16cid:durableId="160900098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975"/>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63B84"/>
    <w:rsid w:val="006F105B"/>
    <w:rsid w:val="00714354"/>
    <w:rsid w:val="00741340"/>
    <w:rsid w:val="00873DF0"/>
    <w:rsid w:val="008756E6"/>
    <w:rsid w:val="00897EC5"/>
    <w:rsid w:val="008A0763"/>
    <w:rsid w:val="008E5477"/>
    <w:rsid w:val="009B2D44"/>
    <w:rsid w:val="00A07E82"/>
    <w:rsid w:val="00A52075"/>
    <w:rsid w:val="00A9710C"/>
    <w:rsid w:val="00AE3E37"/>
    <w:rsid w:val="00B21A57"/>
    <w:rsid w:val="00B85B30"/>
    <w:rsid w:val="00BA1C3F"/>
    <w:rsid w:val="00BE6743"/>
    <w:rsid w:val="00C33602"/>
    <w:rsid w:val="00C56C74"/>
    <w:rsid w:val="00C6381A"/>
    <w:rsid w:val="00CD6F55"/>
    <w:rsid w:val="00DE3104"/>
    <w:rsid w:val="00DE6170"/>
    <w:rsid w:val="00E30AAC"/>
    <w:rsid w:val="00E95D97"/>
    <w:rsid w:val="00EA7D51"/>
    <w:rsid w:val="00F046EA"/>
    <w:rsid w:val="00F312EA"/>
    <w:rsid w:val="00F35A62"/>
    <w:rsid w:val="00F72EEA"/>
    <w:rsid w:val="00F84CAE"/>
    <w:rsid w:val="00F915FD"/>
    <w:rsid w:val="00FA41DE"/>
    <w:rsid w:val="00FC197F"/>
    <w:rsid w:val="00FF48C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EB575F"/>
  <w15:docId w15:val="{4998ACAA-2238-4B28-AC05-B6CC78CB4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BA1C3F"/>
    <w:pPr>
      <w:widowControl/>
      <w:spacing w:before="100" w:beforeAutospacing="1" w:after="100" w:afterAutospacing="1"/>
    </w:pPr>
    <w:rPr>
      <w:rFonts w:ascii="Times New Roman" w:eastAsia="Times New Roman" w:hAnsi="Times New Roman" w:cs="Times New Roman"/>
      <w:sz w:val="24"/>
      <w:szCs w:val="24"/>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585961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84630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9420862.2018.1532766" TargetMode="External"/><Relationship Id="rId13" Type="http://schemas.openxmlformats.org/officeDocument/2006/relationships/image" Target="media/image1.gi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doi.org/10.4049/jimmunol.21001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jpba.2018.03.057" TargetMode="External"/><Relationship Id="rId5" Type="http://schemas.openxmlformats.org/officeDocument/2006/relationships/footnotes" Target="footnotes.xml"/><Relationship Id="rId15" Type="http://schemas.openxmlformats.org/officeDocument/2006/relationships/image" Target="cid:image002.png@01D92F4B.0FE0BE60" TargetMode="External"/><Relationship Id="rId10" Type="http://schemas.openxmlformats.org/officeDocument/2006/relationships/hyperlink" Target="https://doi.org/10.1016/j.jbiotec.2020.04.017" TargetMode="External"/><Relationship Id="rId4" Type="http://schemas.openxmlformats.org/officeDocument/2006/relationships/webSettings" Target="webSettings.xml"/><Relationship Id="rId9" Type="http://schemas.openxmlformats.org/officeDocument/2006/relationships/hyperlink" Target="https://doi.org/10.1007/s40259-020-00407-0"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Steven Edenson</cp:lastModifiedBy>
  <cp:revision>9</cp:revision>
  <dcterms:created xsi:type="dcterms:W3CDTF">2023-01-27T16:25:00Z</dcterms:created>
  <dcterms:modified xsi:type="dcterms:W3CDTF">2023-01-27T16:55:00Z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