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8F9" w:rsidRPr="00E9672B" w:rsidRDefault="00E358F9" w:rsidP="00E358F9">
      <w:pPr>
        <w:pStyle w:val="2-title"/>
        <w:spacing w:after="240"/>
        <w:rPr>
          <w:rFonts w:ascii="Times New Roman" w:hAnsi="Times New Roman" w:cs="Times New Roman"/>
          <w:sz w:val="32"/>
          <w:szCs w:val="32"/>
        </w:rPr>
      </w:pPr>
      <w:r w:rsidRPr="00E9672B">
        <w:rPr>
          <w:rFonts w:ascii="Times New Roman" w:hAnsi="Times New Roman" w:cs="Times New Roman"/>
          <w:sz w:val="32"/>
          <w:szCs w:val="32"/>
          <w:lang w:val="en-US"/>
        </w:rPr>
        <w:t>In vivo Evaluation of a Sustained Release in situ gelling Risperidone Delivery System Based on Lipid Liquid Crystal</w:t>
      </w:r>
    </w:p>
    <w:p w:rsidR="00E358F9" w:rsidRPr="00E9672B" w:rsidRDefault="00E358F9" w:rsidP="00E358F9">
      <w:pPr>
        <w:pStyle w:val="3-author"/>
        <w:spacing w:after="480"/>
        <w:rPr>
          <w:rFonts w:ascii="Times New Roman" w:hAnsi="Times New Roman" w:cs="Times New Roman"/>
          <w:sz w:val="22"/>
          <w:szCs w:val="22"/>
        </w:rPr>
      </w:pPr>
      <w:proofErr w:type="spellStart"/>
      <w:r w:rsidRPr="00E9672B">
        <w:rPr>
          <w:rFonts w:ascii="Times New Roman" w:hAnsi="Times New Roman" w:cs="Times New Roman"/>
          <w:sz w:val="22"/>
          <w:szCs w:val="22"/>
          <w:u w:val="single"/>
        </w:rPr>
        <w:t>Elha</w:t>
      </w:r>
      <w:bookmarkStart w:id="0" w:name="_GoBack"/>
      <w:bookmarkEnd w:id="0"/>
      <w:r w:rsidRPr="00E9672B">
        <w:rPr>
          <w:rFonts w:ascii="Times New Roman" w:hAnsi="Times New Roman" w:cs="Times New Roman"/>
          <w:sz w:val="22"/>
          <w:szCs w:val="22"/>
          <w:u w:val="single"/>
        </w:rPr>
        <w:t>m</w:t>
      </w:r>
      <w:proofErr w:type="spellEnd"/>
      <w:r w:rsidRPr="00E9672B">
        <w:rPr>
          <w:rFonts w:ascii="Times New Roman" w:hAnsi="Times New Roman" w:cs="Times New Roman"/>
          <w:sz w:val="22"/>
          <w:szCs w:val="22"/>
          <w:u w:val="single"/>
        </w:rPr>
        <w:t xml:space="preserve"> </w:t>
      </w:r>
      <w:proofErr w:type="spellStart"/>
      <w:r w:rsidRPr="00E9672B">
        <w:rPr>
          <w:rFonts w:ascii="Times New Roman" w:hAnsi="Times New Roman" w:cs="Times New Roman"/>
          <w:sz w:val="22"/>
          <w:szCs w:val="22"/>
          <w:u w:val="single"/>
        </w:rPr>
        <w:t>Khodaverdi</w:t>
      </w:r>
      <w:proofErr w:type="spellEnd"/>
    </w:p>
    <w:p w:rsidR="00E358F9" w:rsidRPr="00E9672B" w:rsidRDefault="00E358F9" w:rsidP="00E358F9">
      <w:pPr>
        <w:pStyle w:val="4-dept"/>
        <w:spacing w:after="240"/>
        <w:rPr>
          <w:rFonts w:ascii="Times New Roman" w:hAnsi="Times New Roman" w:cs="Times New Roman"/>
          <w:sz w:val="22"/>
          <w:szCs w:val="22"/>
        </w:rPr>
      </w:pPr>
      <w:r w:rsidRPr="00E9672B">
        <w:rPr>
          <w:rStyle w:val="FootnoteReference"/>
          <w:rFonts w:ascii="Times New Roman" w:hAnsi="Times New Roman" w:cs="Times New Roman"/>
          <w:sz w:val="22"/>
          <w:szCs w:val="22"/>
        </w:rPr>
        <w:t>1</w:t>
      </w:r>
      <w:r w:rsidRPr="00E9672B">
        <w:rPr>
          <w:rFonts w:ascii="Times New Roman" w:hAnsi="Times New Roman" w:cs="Times New Roman"/>
          <w:sz w:val="22"/>
          <w:szCs w:val="22"/>
        </w:rPr>
        <w:t xml:space="preserve"> Targeted Drug Delivery Research Centre, Mashhad University of Medical Sciences, Mashhad, Iran;</w:t>
      </w:r>
    </w:p>
    <w:p w:rsidR="00E358F9" w:rsidRPr="00E9672B" w:rsidRDefault="00E358F9" w:rsidP="00E358F9">
      <w:pPr>
        <w:pStyle w:val="4-dept"/>
        <w:spacing w:after="240"/>
        <w:rPr>
          <w:rFonts w:ascii="Times New Roman" w:hAnsi="Times New Roman" w:cs="Times New Roman"/>
          <w:sz w:val="22"/>
          <w:szCs w:val="22"/>
        </w:rPr>
      </w:pPr>
      <w:r w:rsidRPr="00E9672B">
        <w:rPr>
          <w:rFonts w:ascii="Times New Roman" w:hAnsi="Times New Roman" w:cs="Times New Roman"/>
          <w:sz w:val="22"/>
          <w:szCs w:val="22"/>
        </w:rPr>
        <w:t xml:space="preserve"> </w:t>
      </w:r>
      <w:r w:rsidRPr="00E9672B">
        <w:rPr>
          <w:rStyle w:val="FootnoteReference"/>
          <w:rFonts w:ascii="Times New Roman" w:hAnsi="Times New Roman" w:cs="Times New Roman"/>
          <w:sz w:val="22"/>
          <w:szCs w:val="22"/>
        </w:rPr>
        <w:t>2</w:t>
      </w:r>
      <w:r w:rsidRPr="00E9672B">
        <w:rPr>
          <w:rFonts w:ascii="Times New Roman" w:hAnsi="Times New Roman" w:cs="Times New Roman"/>
          <w:sz w:val="22"/>
          <w:szCs w:val="22"/>
        </w:rPr>
        <w:t xml:space="preserve"> Department of Toxicology, Mashhad University of Medical Sciences, Mashhad, Iran;</w:t>
      </w:r>
    </w:p>
    <w:p w:rsidR="00E358F9" w:rsidRPr="00E9672B" w:rsidRDefault="00E358F9" w:rsidP="00E358F9">
      <w:pPr>
        <w:rPr>
          <w:b/>
          <w:sz w:val="22"/>
          <w:szCs w:val="22"/>
          <w:lang w:val="en-US"/>
        </w:rPr>
      </w:pPr>
    </w:p>
    <w:p w:rsidR="00E358F9" w:rsidRPr="00E9672B" w:rsidRDefault="00E358F9" w:rsidP="00E358F9">
      <w:pPr>
        <w:spacing w:after="240"/>
        <w:rPr>
          <w:b/>
          <w:sz w:val="22"/>
          <w:szCs w:val="22"/>
          <w:lang w:val="en-US"/>
        </w:rPr>
      </w:pPr>
      <w:r w:rsidRPr="00E9672B">
        <w:rPr>
          <w:b/>
          <w:sz w:val="22"/>
          <w:szCs w:val="22"/>
          <w:lang w:val="en-US"/>
        </w:rPr>
        <w:t>ABSTRACT:</w:t>
      </w:r>
    </w:p>
    <w:p w:rsidR="00E358F9" w:rsidRPr="00E9672B" w:rsidRDefault="00E358F9" w:rsidP="00E358F9">
      <w:pPr>
        <w:pStyle w:val="NormalWeb"/>
        <w:spacing w:before="0" w:beforeAutospacing="0" w:after="0"/>
        <w:jc w:val="lowKashida"/>
        <w:rPr>
          <w:color w:val="000000" w:themeColor="text1"/>
          <w:sz w:val="22"/>
          <w:szCs w:val="22"/>
        </w:rPr>
      </w:pPr>
      <w:r w:rsidRPr="00E9672B">
        <w:rPr>
          <w:color w:val="000000" w:themeColor="text1"/>
          <w:sz w:val="22"/>
          <w:szCs w:val="22"/>
        </w:rPr>
        <w:t xml:space="preserve">Risperidone is an antipsychotic drug used in the treatment of schizophrenia and acute phase of mania. Conventional risperidone drug delivery systems have side effects, risk of abuse and patient inconvenience. A modified release risperidone delivery system, which releases drug in a prolonged manner, is desirable. Here, oil phase was prepared with mixing of </w:t>
      </w:r>
      <w:proofErr w:type="spellStart"/>
      <w:r w:rsidRPr="00E9672B">
        <w:rPr>
          <w:color w:val="000000" w:themeColor="text1"/>
          <w:sz w:val="22"/>
          <w:szCs w:val="22"/>
        </w:rPr>
        <w:t>phosphatidylcholine</w:t>
      </w:r>
      <w:proofErr w:type="spellEnd"/>
      <w:r w:rsidRPr="00E9672B">
        <w:rPr>
          <w:color w:val="000000" w:themeColor="text1"/>
          <w:sz w:val="22"/>
          <w:szCs w:val="22"/>
        </w:rPr>
        <w:t xml:space="preserve"> and </w:t>
      </w:r>
      <w:proofErr w:type="spellStart"/>
      <w:r w:rsidRPr="00E9672B">
        <w:rPr>
          <w:color w:val="000000" w:themeColor="text1"/>
          <w:sz w:val="22"/>
          <w:szCs w:val="22"/>
        </w:rPr>
        <w:t>glycerols</w:t>
      </w:r>
      <w:proofErr w:type="spellEnd"/>
      <w:r w:rsidRPr="00E9672B">
        <w:rPr>
          <w:color w:val="000000" w:themeColor="text1"/>
          <w:sz w:val="22"/>
          <w:szCs w:val="22"/>
        </w:rPr>
        <w:t xml:space="preserve">. Then Risperidone in N-methyl 2-pyrrolidone (NMP) was dispersed and oil phase and the dispersion mixed to make the drug delivery system. In next step, animal experiments were done on rabbit. The study groups were: group 1, control group (non-injected), group 2, rabbits receiving commercial formulation of </w:t>
      </w:r>
      <w:proofErr w:type="spellStart"/>
      <w:r w:rsidRPr="00E9672B">
        <w:rPr>
          <w:color w:val="000000" w:themeColor="text1"/>
          <w:sz w:val="22"/>
          <w:szCs w:val="22"/>
        </w:rPr>
        <w:t>Resperidon</w:t>
      </w:r>
      <w:proofErr w:type="spellEnd"/>
      <w:r w:rsidRPr="00E9672B">
        <w:rPr>
          <w:color w:val="000000" w:themeColor="text1"/>
          <w:sz w:val="22"/>
          <w:szCs w:val="22"/>
        </w:rPr>
        <w:t xml:space="preserve"> (</w:t>
      </w:r>
      <w:proofErr w:type="spellStart"/>
      <w:r w:rsidRPr="00E9672B">
        <w:rPr>
          <w:color w:val="000000" w:themeColor="text1"/>
          <w:sz w:val="22"/>
          <w:szCs w:val="22"/>
        </w:rPr>
        <w:t>Risperidal</w:t>
      </w:r>
      <w:proofErr w:type="spellEnd"/>
      <w:r w:rsidRPr="00E9672B">
        <w:rPr>
          <w:color w:val="000000" w:themeColor="text1"/>
          <w:sz w:val="22"/>
          <w:szCs w:val="22"/>
        </w:rPr>
        <w:t xml:space="preserve"> </w:t>
      </w:r>
      <w:proofErr w:type="spellStart"/>
      <w:r w:rsidRPr="00E9672B">
        <w:rPr>
          <w:color w:val="000000" w:themeColor="text1"/>
          <w:sz w:val="22"/>
          <w:szCs w:val="22"/>
        </w:rPr>
        <w:t>Consta</w:t>
      </w:r>
      <w:proofErr w:type="spellEnd"/>
      <w:r w:rsidRPr="00E9672B">
        <w:rPr>
          <w:color w:val="000000" w:themeColor="text1"/>
          <w:sz w:val="22"/>
          <w:szCs w:val="22"/>
        </w:rPr>
        <w:t xml:space="preserve">®) (intramuscular injection), group 3, rabbits receiving lipid liquid crystal formulation without risperidone, and group 4, rabbits receiving lipid liquid crystal formulation containing risperidone (25 mg), which were subcutaneously injected into the back of the rabbits' necks. Each group consisted of three rabbits. The results showed the </w:t>
      </w:r>
      <w:proofErr w:type="spellStart"/>
      <w:r w:rsidRPr="00E9672B">
        <w:rPr>
          <w:color w:val="000000" w:themeColor="text1"/>
          <w:sz w:val="22"/>
          <w:szCs w:val="22"/>
        </w:rPr>
        <w:t>Cmax</w:t>
      </w:r>
      <w:proofErr w:type="spellEnd"/>
      <w:r w:rsidRPr="00E9672B">
        <w:rPr>
          <w:color w:val="000000" w:themeColor="text1"/>
          <w:sz w:val="22"/>
          <w:szCs w:val="22"/>
        </w:rPr>
        <w:t xml:space="preserve"> of the lipid-liquid-crystal formulation is lower than the </w:t>
      </w:r>
      <w:proofErr w:type="spellStart"/>
      <w:r w:rsidRPr="00E9672B">
        <w:rPr>
          <w:color w:val="000000" w:themeColor="text1"/>
          <w:sz w:val="22"/>
          <w:szCs w:val="22"/>
        </w:rPr>
        <w:t>Risperidal</w:t>
      </w:r>
      <w:proofErr w:type="spellEnd"/>
      <w:r w:rsidRPr="00E9672B">
        <w:rPr>
          <w:color w:val="000000" w:themeColor="text1"/>
          <w:sz w:val="22"/>
          <w:szCs w:val="22"/>
        </w:rPr>
        <w:t xml:space="preserve"> </w:t>
      </w:r>
      <w:proofErr w:type="spellStart"/>
      <w:r w:rsidRPr="00E9672B">
        <w:rPr>
          <w:color w:val="000000" w:themeColor="text1"/>
          <w:sz w:val="22"/>
          <w:szCs w:val="22"/>
        </w:rPr>
        <w:t>Consta</w:t>
      </w:r>
      <w:proofErr w:type="spellEnd"/>
      <w:r w:rsidRPr="00E9672B">
        <w:rPr>
          <w:color w:val="000000" w:themeColor="text1"/>
          <w:sz w:val="22"/>
          <w:szCs w:val="22"/>
        </w:rPr>
        <w:t xml:space="preserve">®, indicating a uniform release of the drug from the lipid-liquid-crystal formulation. The lipid-liquid-crystal formulation creates a uniform serum drug concentration from the beginning of the injection in spite </w:t>
      </w:r>
      <w:proofErr w:type="spellStart"/>
      <w:r w:rsidRPr="00E9672B">
        <w:rPr>
          <w:color w:val="000000" w:themeColor="text1"/>
          <w:sz w:val="22"/>
          <w:szCs w:val="22"/>
        </w:rPr>
        <w:t>Risperidal</w:t>
      </w:r>
      <w:proofErr w:type="spellEnd"/>
      <w:r w:rsidRPr="00E9672B">
        <w:rPr>
          <w:color w:val="000000" w:themeColor="text1"/>
          <w:sz w:val="22"/>
          <w:szCs w:val="22"/>
        </w:rPr>
        <w:t xml:space="preserve"> </w:t>
      </w:r>
      <w:proofErr w:type="spellStart"/>
      <w:r w:rsidRPr="00E9672B">
        <w:rPr>
          <w:color w:val="000000" w:themeColor="text1"/>
          <w:sz w:val="22"/>
          <w:szCs w:val="22"/>
        </w:rPr>
        <w:t>Consta</w:t>
      </w:r>
      <w:proofErr w:type="spellEnd"/>
      <w:r w:rsidRPr="00E9672B">
        <w:rPr>
          <w:color w:val="000000" w:themeColor="text1"/>
          <w:sz w:val="22"/>
          <w:szCs w:val="22"/>
        </w:rPr>
        <w:t>®. In addition, the time to reach to maximum plasma concentration (</w:t>
      </w:r>
      <w:proofErr w:type="spellStart"/>
      <w:r w:rsidRPr="00E9672B">
        <w:rPr>
          <w:color w:val="000000" w:themeColor="text1"/>
          <w:sz w:val="22"/>
          <w:szCs w:val="22"/>
        </w:rPr>
        <w:t>Tmax</w:t>
      </w:r>
      <w:proofErr w:type="spellEnd"/>
      <w:r w:rsidRPr="00E9672B">
        <w:rPr>
          <w:color w:val="000000" w:themeColor="text1"/>
          <w:sz w:val="22"/>
          <w:szCs w:val="22"/>
        </w:rPr>
        <w:t xml:space="preserve">) in lipid liquid crystal formulation was significantly less than the </w:t>
      </w:r>
      <w:proofErr w:type="spellStart"/>
      <w:r w:rsidRPr="00E9672B">
        <w:rPr>
          <w:color w:val="000000" w:themeColor="text1"/>
          <w:sz w:val="22"/>
          <w:szCs w:val="22"/>
        </w:rPr>
        <w:t>Risperidal</w:t>
      </w:r>
      <w:proofErr w:type="spellEnd"/>
      <w:r w:rsidRPr="00E9672B">
        <w:rPr>
          <w:color w:val="000000" w:themeColor="text1"/>
          <w:sz w:val="22"/>
          <w:szCs w:val="22"/>
        </w:rPr>
        <w:t xml:space="preserve"> </w:t>
      </w:r>
      <w:proofErr w:type="spellStart"/>
      <w:r w:rsidRPr="00E9672B">
        <w:rPr>
          <w:color w:val="000000" w:themeColor="text1"/>
          <w:sz w:val="22"/>
          <w:szCs w:val="22"/>
        </w:rPr>
        <w:t>Consta</w:t>
      </w:r>
      <w:proofErr w:type="spellEnd"/>
      <w:r w:rsidRPr="00E9672B">
        <w:rPr>
          <w:color w:val="000000" w:themeColor="text1"/>
          <w:sz w:val="22"/>
          <w:szCs w:val="22"/>
        </w:rPr>
        <w:t xml:space="preserve">®, which indicates that the new formulation reached the maximum concentration faster than </w:t>
      </w:r>
      <w:proofErr w:type="spellStart"/>
      <w:r w:rsidRPr="00E9672B">
        <w:rPr>
          <w:color w:val="000000" w:themeColor="text1"/>
          <w:sz w:val="22"/>
          <w:szCs w:val="22"/>
        </w:rPr>
        <w:t>Risperidal</w:t>
      </w:r>
      <w:proofErr w:type="spellEnd"/>
      <w:r w:rsidRPr="00E9672B">
        <w:rPr>
          <w:color w:val="000000" w:themeColor="text1"/>
          <w:sz w:val="22"/>
          <w:szCs w:val="22"/>
        </w:rPr>
        <w:t xml:space="preserve"> </w:t>
      </w:r>
      <w:proofErr w:type="spellStart"/>
      <w:r w:rsidRPr="00E9672B">
        <w:rPr>
          <w:color w:val="000000" w:themeColor="text1"/>
          <w:sz w:val="22"/>
          <w:szCs w:val="22"/>
        </w:rPr>
        <w:t>Consta</w:t>
      </w:r>
      <w:proofErr w:type="spellEnd"/>
      <w:r w:rsidRPr="00E9672B">
        <w:rPr>
          <w:color w:val="000000" w:themeColor="text1"/>
          <w:sz w:val="22"/>
          <w:szCs w:val="22"/>
        </w:rPr>
        <w:t xml:space="preserve">®. The disadvantage of </w:t>
      </w:r>
      <w:proofErr w:type="spellStart"/>
      <w:r w:rsidRPr="00E9672B">
        <w:rPr>
          <w:color w:val="000000" w:themeColor="text1"/>
          <w:sz w:val="22"/>
          <w:szCs w:val="22"/>
        </w:rPr>
        <w:t>Risperidal</w:t>
      </w:r>
      <w:proofErr w:type="spellEnd"/>
      <w:r w:rsidRPr="00E9672B">
        <w:rPr>
          <w:color w:val="000000" w:themeColor="text1"/>
          <w:sz w:val="22"/>
          <w:szCs w:val="22"/>
        </w:rPr>
        <w:t xml:space="preserve"> </w:t>
      </w:r>
      <w:proofErr w:type="spellStart"/>
      <w:r w:rsidRPr="00E9672B">
        <w:rPr>
          <w:color w:val="000000" w:themeColor="text1"/>
          <w:sz w:val="22"/>
          <w:szCs w:val="22"/>
        </w:rPr>
        <w:t>Consta</w:t>
      </w:r>
      <w:proofErr w:type="spellEnd"/>
      <w:r w:rsidRPr="00E9672B">
        <w:rPr>
          <w:color w:val="000000" w:themeColor="text1"/>
          <w:sz w:val="22"/>
          <w:szCs w:val="22"/>
        </w:rPr>
        <w:t xml:space="preserve">®, which is in form of sustained release risperidone microspheres, is a delay of 2 or 3 weeks to reach to the </w:t>
      </w:r>
      <w:proofErr w:type="spellStart"/>
      <w:r w:rsidRPr="00E9672B">
        <w:rPr>
          <w:color w:val="000000" w:themeColor="text1"/>
          <w:sz w:val="22"/>
          <w:szCs w:val="22"/>
        </w:rPr>
        <w:t>Cmax</w:t>
      </w:r>
      <w:proofErr w:type="spellEnd"/>
      <w:r w:rsidRPr="00E9672B">
        <w:rPr>
          <w:color w:val="000000" w:themeColor="text1"/>
          <w:sz w:val="22"/>
          <w:szCs w:val="22"/>
        </w:rPr>
        <w:t xml:space="preserve">. This forces patients to use oral formulations during couple of days after first injection. </w:t>
      </w:r>
    </w:p>
    <w:p w:rsidR="00E9672B" w:rsidRPr="00E9672B" w:rsidRDefault="00096026" w:rsidP="00E9672B">
      <w:pPr>
        <w:rPr>
          <w:b/>
          <w:color w:val="000000" w:themeColor="text1"/>
          <w:sz w:val="22"/>
          <w:szCs w:val="22"/>
        </w:rPr>
      </w:pPr>
      <w:proofErr w:type="spellStart"/>
      <w:r w:rsidRPr="00E9672B">
        <w:rPr>
          <w:b/>
          <w:color w:val="000000" w:themeColor="text1"/>
          <w:sz w:val="22"/>
          <w:szCs w:val="22"/>
        </w:rPr>
        <w:t>Biogarphy</w:t>
      </w:r>
      <w:proofErr w:type="spellEnd"/>
      <w:r w:rsidRPr="00E9672B">
        <w:rPr>
          <w:b/>
          <w:color w:val="000000" w:themeColor="text1"/>
          <w:sz w:val="22"/>
          <w:szCs w:val="22"/>
        </w:rPr>
        <w:t xml:space="preserve">: </w:t>
      </w:r>
    </w:p>
    <w:p w:rsidR="00E9672B" w:rsidRPr="00E9672B" w:rsidRDefault="00E9672B" w:rsidP="00E9672B">
      <w:pPr>
        <w:rPr>
          <w:color w:val="000000" w:themeColor="text1"/>
          <w:sz w:val="22"/>
          <w:szCs w:val="22"/>
        </w:rPr>
      </w:pPr>
    </w:p>
    <w:p w:rsidR="00E9672B" w:rsidRPr="00E9672B" w:rsidRDefault="00E9672B" w:rsidP="00E9672B">
      <w:pPr>
        <w:rPr>
          <w:sz w:val="22"/>
          <w:szCs w:val="22"/>
        </w:rPr>
      </w:pPr>
      <w:proofErr w:type="spellStart"/>
      <w:r w:rsidRPr="00E9672B">
        <w:rPr>
          <w:sz w:val="22"/>
          <w:szCs w:val="22"/>
        </w:rPr>
        <w:t>Elham</w:t>
      </w:r>
      <w:proofErr w:type="spellEnd"/>
      <w:r w:rsidRPr="00E9672B">
        <w:rPr>
          <w:sz w:val="22"/>
          <w:szCs w:val="22"/>
        </w:rPr>
        <w:t xml:space="preserve"> </w:t>
      </w:r>
      <w:proofErr w:type="spellStart"/>
      <w:r w:rsidRPr="00E9672B">
        <w:rPr>
          <w:sz w:val="22"/>
          <w:szCs w:val="22"/>
        </w:rPr>
        <w:t>Khodaverdi</w:t>
      </w:r>
      <w:proofErr w:type="spellEnd"/>
      <w:r w:rsidRPr="00E9672B">
        <w:rPr>
          <w:sz w:val="22"/>
          <w:szCs w:val="22"/>
        </w:rPr>
        <w:t xml:space="preserve"> </w:t>
      </w:r>
      <w:r w:rsidRPr="00E9672B">
        <w:rPr>
          <w:sz w:val="22"/>
          <w:szCs w:val="22"/>
        </w:rPr>
        <w:t xml:space="preserve">is affiliated to Mashhad University of Medical Sciences, Mashhad, Iran. </w:t>
      </w:r>
      <w:proofErr w:type="spellStart"/>
      <w:r w:rsidRPr="00E9672B">
        <w:rPr>
          <w:sz w:val="22"/>
          <w:szCs w:val="22"/>
        </w:rPr>
        <w:t>Elham</w:t>
      </w:r>
      <w:proofErr w:type="spellEnd"/>
      <w:r w:rsidRPr="00E9672B">
        <w:rPr>
          <w:sz w:val="22"/>
          <w:szCs w:val="22"/>
        </w:rPr>
        <w:t xml:space="preserve"> </w:t>
      </w:r>
      <w:proofErr w:type="spellStart"/>
      <w:r w:rsidRPr="00E9672B">
        <w:rPr>
          <w:sz w:val="22"/>
          <w:szCs w:val="22"/>
        </w:rPr>
        <w:t>Khodaverdi</w:t>
      </w:r>
      <w:proofErr w:type="spellEnd"/>
      <w:r w:rsidRPr="00E9672B">
        <w:rPr>
          <w:sz w:val="22"/>
          <w:szCs w:val="22"/>
        </w:rPr>
        <w:t xml:space="preserve"> is a recipient of</w:t>
      </w:r>
      <w:r w:rsidRPr="00E9672B">
        <w:rPr>
          <w:sz w:val="22"/>
          <w:szCs w:val="22"/>
        </w:rPr>
        <w:t xml:space="preserve"> many awards and grants for </w:t>
      </w:r>
      <w:r w:rsidRPr="00E9672B">
        <w:rPr>
          <w:sz w:val="22"/>
          <w:szCs w:val="22"/>
        </w:rPr>
        <w:t>her valuable contributions and discoveries in maj</w:t>
      </w:r>
      <w:r w:rsidRPr="00E9672B">
        <w:rPr>
          <w:sz w:val="22"/>
          <w:szCs w:val="22"/>
        </w:rPr>
        <w:t xml:space="preserve">or area of subject research. </w:t>
      </w:r>
      <w:r w:rsidRPr="00E9672B">
        <w:rPr>
          <w:sz w:val="22"/>
          <w:szCs w:val="22"/>
        </w:rPr>
        <w:t>Her international experience includes various programs, contributions and participation in different countries fo</w:t>
      </w:r>
      <w:r w:rsidRPr="00E9672B">
        <w:rPr>
          <w:sz w:val="22"/>
          <w:szCs w:val="22"/>
        </w:rPr>
        <w:t>r diverse fields of study. </w:t>
      </w:r>
    </w:p>
    <w:p w:rsidR="00096026" w:rsidRPr="00E9672B" w:rsidRDefault="00096026" w:rsidP="00E358F9">
      <w:pPr>
        <w:pStyle w:val="NormalWeb"/>
        <w:spacing w:before="0" w:beforeAutospacing="0" w:after="0"/>
        <w:jc w:val="lowKashida"/>
        <w:rPr>
          <w:color w:val="000000" w:themeColor="text1"/>
          <w:sz w:val="22"/>
          <w:szCs w:val="22"/>
        </w:rPr>
      </w:pPr>
    </w:p>
    <w:p w:rsidR="00E358F9" w:rsidRPr="00E9672B" w:rsidRDefault="00E358F9" w:rsidP="00E358F9">
      <w:pPr>
        <w:spacing w:after="100" w:line="288" w:lineRule="auto"/>
        <w:rPr>
          <w:rFonts w:eastAsia="Calibri"/>
          <w:b/>
          <w:color w:val="000000"/>
          <w:sz w:val="22"/>
          <w:szCs w:val="22"/>
        </w:rPr>
      </w:pPr>
      <w:r w:rsidRPr="00E9672B">
        <w:rPr>
          <w:rFonts w:eastAsia="Calibri"/>
          <w:b/>
          <w:color w:val="000000"/>
          <w:sz w:val="22"/>
          <w:szCs w:val="22"/>
        </w:rPr>
        <w:t>References:</w:t>
      </w:r>
    </w:p>
    <w:p w:rsidR="00E358F9" w:rsidRPr="00E9672B" w:rsidRDefault="00E358F9" w:rsidP="00E358F9">
      <w:pPr>
        <w:pStyle w:val="EndNoteBibliography"/>
        <w:rPr>
          <w:rFonts w:ascii="Times New Roman" w:hAnsi="Times New Roman" w:cs="Times New Roman"/>
        </w:rPr>
      </w:pPr>
      <w:r w:rsidRPr="00E9672B">
        <w:rPr>
          <w:rFonts w:ascii="Times New Roman" w:hAnsi="Times New Roman" w:cs="Times New Roman"/>
        </w:rPr>
        <w:t xml:space="preserve">Mohammadpour, F., et al. (2021). </w:t>
      </w:r>
      <w:r w:rsidRPr="00E9672B">
        <w:rPr>
          <w:rFonts w:ascii="Times New Roman" w:hAnsi="Times New Roman" w:cs="Times New Roman"/>
          <w:u w:val="single"/>
        </w:rPr>
        <w:t>Journal of Pharmaceutical Innovation</w:t>
      </w:r>
      <w:r w:rsidRPr="00E9672B">
        <w:rPr>
          <w:rFonts w:ascii="Times New Roman" w:hAnsi="Times New Roman" w:cs="Times New Roman"/>
        </w:rPr>
        <w:t>: 1-13.</w:t>
      </w:r>
    </w:p>
    <w:p w:rsidR="00E358F9" w:rsidRPr="00E9672B" w:rsidRDefault="00E358F9" w:rsidP="00E358F9">
      <w:pPr>
        <w:pStyle w:val="EndNoteBibliography"/>
        <w:rPr>
          <w:rFonts w:ascii="Times New Roman" w:hAnsi="Times New Roman" w:cs="Times New Roman"/>
        </w:rPr>
      </w:pPr>
      <w:r w:rsidRPr="00E9672B">
        <w:rPr>
          <w:rFonts w:ascii="Times New Roman" w:hAnsi="Times New Roman" w:cs="Times New Roman"/>
        </w:rPr>
        <w:t xml:space="preserve">Yerragunta, B., et al. (2015). </w:t>
      </w:r>
      <w:r w:rsidRPr="00E9672B">
        <w:rPr>
          <w:rFonts w:ascii="Times New Roman" w:hAnsi="Times New Roman" w:cs="Times New Roman"/>
          <w:u w:val="single"/>
        </w:rPr>
        <w:t>Journal of pharmacy &amp; bioallied sciences</w:t>
      </w:r>
      <w:r w:rsidRPr="00E9672B">
        <w:rPr>
          <w:rFonts w:ascii="Times New Roman" w:hAnsi="Times New Roman" w:cs="Times New Roman"/>
        </w:rPr>
        <w:t xml:space="preserve"> </w:t>
      </w:r>
      <w:r w:rsidRPr="00E9672B">
        <w:rPr>
          <w:rFonts w:ascii="Times New Roman" w:hAnsi="Times New Roman" w:cs="Times New Roman"/>
          <w:b/>
        </w:rPr>
        <w:t>7</w:t>
      </w:r>
      <w:r w:rsidRPr="00E9672B">
        <w:rPr>
          <w:rFonts w:ascii="Times New Roman" w:hAnsi="Times New Roman" w:cs="Times New Roman"/>
        </w:rPr>
        <w:t>(1): 37-44.</w:t>
      </w:r>
    </w:p>
    <w:p w:rsidR="00BD1664" w:rsidRPr="00E9672B" w:rsidRDefault="00E9672B">
      <w:pPr>
        <w:rPr>
          <w:sz w:val="22"/>
          <w:szCs w:val="22"/>
        </w:rPr>
      </w:pPr>
    </w:p>
    <w:p w:rsidR="00096026" w:rsidRPr="00E9672B" w:rsidRDefault="00096026">
      <w:pPr>
        <w:rPr>
          <w:sz w:val="22"/>
          <w:szCs w:val="22"/>
        </w:rPr>
      </w:pPr>
    </w:p>
    <w:p w:rsidR="00713984" w:rsidRPr="00E9672B" w:rsidRDefault="00713984">
      <w:pPr>
        <w:rPr>
          <w:color w:val="000000"/>
          <w:sz w:val="22"/>
          <w:szCs w:val="22"/>
        </w:rPr>
      </w:pPr>
    </w:p>
    <w:p w:rsidR="00713984" w:rsidRPr="00E9672B" w:rsidRDefault="00713984">
      <w:pPr>
        <w:rPr>
          <w:color w:val="000000"/>
          <w:sz w:val="22"/>
          <w:szCs w:val="22"/>
        </w:rPr>
      </w:pPr>
    </w:p>
    <w:p w:rsidR="00713984" w:rsidRPr="00E9672B" w:rsidRDefault="00713984">
      <w:pPr>
        <w:rPr>
          <w:color w:val="000000"/>
          <w:sz w:val="22"/>
          <w:szCs w:val="22"/>
        </w:rPr>
      </w:pPr>
    </w:p>
    <w:p w:rsidR="00713984" w:rsidRPr="00E9672B" w:rsidRDefault="00713984" w:rsidP="00713984">
      <w:pPr>
        <w:rPr>
          <w:sz w:val="22"/>
          <w:szCs w:val="22"/>
        </w:rPr>
      </w:pPr>
    </w:p>
    <w:sectPr w:rsidR="00713984" w:rsidRPr="00E967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8F9"/>
    <w:rsid w:val="00096026"/>
    <w:rsid w:val="00700931"/>
    <w:rsid w:val="00713984"/>
    <w:rsid w:val="00A956A7"/>
    <w:rsid w:val="00E358F9"/>
    <w:rsid w:val="00E967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8F9"/>
    <w:pPr>
      <w:spacing w:after="0" w:line="240" w:lineRule="auto"/>
      <w:jc w:val="both"/>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sid w:val="00E358F9"/>
    <w:rPr>
      <w:vertAlign w:val="superscript"/>
    </w:rPr>
  </w:style>
  <w:style w:type="paragraph" w:customStyle="1" w:styleId="2-title">
    <w:name w:val="2-title"/>
    <w:basedOn w:val="Normal"/>
    <w:rsid w:val="00E358F9"/>
    <w:pPr>
      <w:jc w:val="center"/>
    </w:pPr>
    <w:rPr>
      <w:rFonts w:ascii="Arial" w:eastAsia="Calibri" w:hAnsi="Arial" w:cs="Arial"/>
      <w:b/>
      <w:sz w:val="22"/>
      <w:szCs w:val="22"/>
    </w:rPr>
  </w:style>
  <w:style w:type="paragraph" w:customStyle="1" w:styleId="3-author">
    <w:name w:val="3-author"/>
    <w:basedOn w:val="Normal"/>
    <w:rsid w:val="00E358F9"/>
    <w:pPr>
      <w:jc w:val="center"/>
    </w:pPr>
    <w:rPr>
      <w:rFonts w:ascii="Arial" w:eastAsia="Calibri" w:hAnsi="Arial" w:cs="Arial"/>
      <w:b/>
      <w:sz w:val="18"/>
    </w:rPr>
  </w:style>
  <w:style w:type="paragraph" w:customStyle="1" w:styleId="4-dept">
    <w:name w:val="4-dept"/>
    <w:basedOn w:val="Normal"/>
    <w:rsid w:val="00E358F9"/>
    <w:pPr>
      <w:spacing w:before="60" w:after="60"/>
      <w:jc w:val="center"/>
    </w:pPr>
    <w:rPr>
      <w:rFonts w:ascii="Arial" w:eastAsia="Calibri" w:hAnsi="Arial" w:cs="Arial"/>
      <w:i/>
      <w:sz w:val="14"/>
      <w:szCs w:val="18"/>
    </w:rPr>
  </w:style>
  <w:style w:type="character" w:customStyle="1" w:styleId="a">
    <w:name w:val="متن متمایز"/>
    <w:basedOn w:val="DefaultParagraphFont"/>
    <w:uiPriority w:val="1"/>
    <w:qFormat/>
    <w:rsid w:val="00E358F9"/>
    <w:rPr>
      <w:rFonts w:ascii="Times New Roman" w:hAnsi="Times New Roman" w:cs="B Nazanin"/>
      <w:b/>
      <w:bCs/>
      <w:color w:val="2E74B5" w:themeColor="accent1" w:themeShade="BF"/>
      <w:sz w:val="24"/>
      <w:szCs w:val="28"/>
      <w:lang w:bidi="fa-IR"/>
    </w:rPr>
  </w:style>
  <w:style w:type="paragraph" w:styleId="NormalWeb">
    <w:name w:val="Normal (Web)"/>
    <w:basedOn w:val="Normal"/>
    <w:uiPriority w:val="99"/>
    <w:unhideWhenUsed/>
    <w:rsid w:val="00E358F9"/>
    <w:pPr>
      <w:spacing w:before="100" w:beforeAutospacing="1" w:after="100" w:afterAutospacing="1"/>
      <w:jc w:val="left"/>
    </w:pPr>
    <w:rPr>
      <w:szCs w:val="24"/>
      <w:lang w:val="en-US"/>
    </w:rPr>
  </w:style>
  <w:style w:type="paragraph" w:customStyle="1" w:styleId="EndNoteBibliography">
    <w:name w:val="EndNote Bibliography"/>
    <w:basedOn w:val="Normal"/>
    <w:link w:val="EndNoteBibliographyChar"/>
    <w:rsid w:val="00E358F9"/>
    <w:pPr>
      <w:spacing w:after="160"/>
      <w:jc w:val="left"/>
    </w:pPr>
    <w:rPr>
      <w:rFonts w:ascii="Calibri" w:eastAsiaTheme="minorHAnsi" w:hAnsi="Calibri" w:cs="Calibri"/>
      <w:noProof/>
      <w:sz w:val="22"/>
      <w:szCs w:val="22"/>
      <w:lang w:val="en-US"/>
    </w:rPr>
  </w:style>
  <w:style w:type="character" w:customStyle="1" w:styleId="EndNoteBibliographyChar">
    <w:name w:val="EndNote Bibliography Char"/>
    <w:basedOn w:val="DefaultParagraphFont"/>
    <w:link w:val="EndNoteBibliography"/>
    <w:rsid w:val="00E358F9"/>
    <w:rPr>
      <w:rFonts w:ascii="Calibri" w:hAnsi="Calibri" w:cs="Calibri"/>
      <w:noProof/>
    </w:rPr>
  </w:style>
  <w:style w:type="character" w:styleId="Hyperlink">
    <w:name w:val="Hyperlink"/>
    <w:basedOn w:val="DefaultParagraphFont"/>
    <w:uiPriority w:val="99"/>
    <w:unhideWhenUsed/>
    <w:rsid w:val="00096026"/>
    <w:rPr>
      <w:color w:val="0563C1" w:themeColor="hyperlink"/>
      <w:u w:val="single"/>
    </w:rPr>
  </w:style>
  <w:style w:type="paragraph" w:styleId="NoSpacing">
    <w:name w:val="No Spacing"/>
    <w:uiPriority w:val="1"/>
    <w:qFormat/>
    <w:rsid w:val="00713984"/>
    <w:pPr>
      <w:spacing w:after="0" w:line="240" w:lineRule="auto"/>
    </w:pPr>
    <w:rPr>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8F9"/>
    <w:pPr>
      <w:spacing w:after="0" w:line="240" w:lineRule="auto"/>
      <w:jc w:val="both"/>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sid w:val="00E358F9"/>
    <w:rPr>
      <w:vertAlign w:val="superscript"/>
    </w:rPr>
  </w:style>
  <w:style w:type="paragraph" w:customStyle="1" w:styleId="2-title">
    <w:name w:val="2-title"/>
    <w:basedOn w:val="Normal"/>
    <w:rsid w:val="00E358F9"/>
    <w:pPr>
      <w:jc w:val="center"/>
    </w:pPr>
    <w:rPr>
      <w:rFonts w:ascii="Arial" w:eastAsia="Calibri" w:hAnsi="Arial" w:cs="Arial"/>
      <w:b/>
      <w:sz w:val="22"/>
      <w:szCs w:val="22"/>
    </w:rPr>
  </w:style>
  <w:style w:type="paragraph" w:customStyle="1" w:styleId="3-author">
    <w:name w:val="3-author"/>
    <w:basedOn w:val="Normal"/>
    <w:rsid w:val="00E358F9"/>
    <w:pPr>
      <w:jc w:val="center"/>
    </w:pPr>
    <w:rPr>
      <w:rFonts w:ascii="Arial" w:eastAsia="Calibri" w:hAnsi="Arial" w:cs="Arial"/>
      <w:b/>
      <w:sz w:val="18"/>
    </w:rPr>
  </w:style>
  <w:style w:type="paragraph" w:customStyle="1" w:styleId="4-dept">
    <w:name w:val="4-dept"/>
    <w:basedOn w:val="Normal"/>
    <w:rsid w:val="00E358F9"/>
    <w:pPr>
      <w:spacing w:before="60" w:after="60"/>
      <w:jc w:val="center"/>
    </w:pPr>
    <w:rPr>
      <w:rFonts w:ascii="Arial" w:eastAsia="Calibri" w:hAnsi="Arial" w:cs="Arial"/>
      <w:i/>
      <w:sz w:val="14"/>
      <w:szCs w:val="18"/>
    </w:rPr>
  </w:style>
  <w:style w:type="character" w:customStyle="1" w:styleId="a">
    <w:name w:val="متن متمایز"/>
    <w:basedOn w:val="DefaultParagraphFont"/>
    <w:uiPriority w:val="1"/>
    <w:qFormat/>
    <w:rsid w:val="00E358F9"/>
    <w:rPr>
      <w:rFonts w:ascii="Times New Roman" w:hAnsi="Times New Roman" w:cs="B Nazanin"/>
      <w:b/>
      <w:bCs/>
      <w:color w:val="2E74B5" w:themeColor="accent1" w:themeShade="BF"/>
      <w:sz w:val="24"/>
      <w:szCs w:val="28"/>
      <w:lang w:bidi="fa-IR"/>
    </w:rPr>
  </w:style>
  <w:style w:type="paragraph" w:styleId="NormalWeb">
    <w:name w:val="Normal (Web)"/>
    <w:basedOn w:val="Normal"/>
    <w:uiPriority w:val="99"/>
    <w:unhideWhenUsed/>
    <w:rsid w:val="00E358F9"/>
    <w:pPr>
      <w:spacing w:before="100" w:beforeAutospacing="1" w:after="100" w:afterAutospacing="1"/>
      <w:jc w:val="left"/>
    </w:pPr>
    <w:rPr>
      <w:szCs w:val="24"/>
      <w:lang w:val="en-US"/>
    </w:rPr>
  </w:style>
  <w:style w:type="paragraph" w:customStyle="1" w:styleId="EndNoteBibliography">
    <w:name w:val="EndNote Bibliography"/>
    <w:basedOn w:val="Normal"/>
    <w:link w:val="EndNoteBibliographyChar"/>
    <w:rsid w:val="00E358F9"/>
    <w:pPr>
      <w:spacing w:after="160"/>
      <w:jc w:val="left"/>
    </w:pPr>
    <w:rPr>
      <w:rFonts w:ascii="Calibri" w:eastAsiaTheme="minorHAnsi" w:hAnsi="Calibri" w:cs="Calibri"/>
      <w:noProof/>
      <w:sz w:val="22"/>
      <w:szCs w:val="22"/>
      <w:lang w:val="en-US"/>
    </w:rPr>
  </w:style>
  <w:style w:type="character" w:customStyle="1" w:styleId="EndNoteBibliographyChar">
    <w:name w:val="EndNote Bibliography Char"/>
    <w:basedOn w:val="DefaultParagraphFont"/>
    <w:link w:val="EndNoteBibliography"/>
    <w:rsid w:val="00E358F9"/>
    <w:rPr>
      <w:rFonts w:ascii="Calibri" w:hAnsi="Calibri" w:cs="Calibri"/>
      <w:noProof/>
    </w:rPr>
  </w:style>
  <w:style w:type="character" w:styleId="Hyperlink">
    <w:name w:val="Hyperlink"/>
    <w:basedOn w:val="DefaultParagraphFont"/>
    <w:uiPriority w:val="99"/>
    <w:unhideWhenUsed/>
    <w:rsid w:val="00096026"/>
    <w:rPr>
      <w:color w:val="0563C1" w:themeColor="hyperlink"/>
      <w:u w:val="single"/>
    </w:rPr>
  </w:style>
  <w:style w:type="paragraph" w:styleId="NoSpacing">
    <w:name w:val="No Spacing"/>
    <w:uiPriority w:val="1"/>
    <w:qFormat/>
    <w:rsid w:val="00713984"/>
    <w:pPr>
      <w:spacing w:after="0" w:line="240" w:lineRule="auto"/>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40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Elham Khodaverdi (PhD)</dc:creator>
  <cp:lastModifiedBy>medicinalchemistry</cp:lastModifiedBy>
  <cp:revision>2</cp:revision>
  <dcterms:created xsi:type="dcterms:W3CDTF">2023-01-27T13:22:00Z</dcterms:created>
  <dcterms:modified xsi:type="dcterms:W3CDTF">2023-01-27T13:22:00Z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956b6f93-480b-4a15-b1c0-e79298445b7e</vt:lpwstr>
  </property>
</Properties>
</file>