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375B" w:rsidRPr="00AD4744" w:rsidRDefault="005E375B" w:rsidP="00AD4744">
      <w:pPr>
        <w:spacing w:line="360" w:lineRule="auto"/>
        <w:ind w:left="720" w:hanging="720"/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</w:pPr>
      <w:r w:rsidRPr="00AD4744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 xml:space="preserve">Effects of a </w:t>
      </w:r>
      <w:proofErr w:type="spellStart"/>
      <w:r w:rsidRPr="00AD4744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>ketogenic</w:t>
      </w:r>
      <w:proofErr w:type="spellEnd"/>
      <w:r w:rsidRPr="00AD4744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 xml:space="preserve"> diet in overweight women with polycystic ovary syndrome</w:t>
      </w:r>
    </w:p>
    <w:p w:rsidR="005E375B" w:rsidRPr="005E375B" w:rsidRDefault="005E375B" w:rsidP="005E375B">
      <w:pPr>
        <w:pStyle w:val="NoSpacing"/>
      </w:pPr>
      <w:proofErr w:type="spellStart"/>
      <w:r w:rsidRPr="00AD4744">
        <w:rPr>
          <w:sz w:val="28"/>
          <w:szCs w:val="28"/>
        </w:rPr>
        <w:t>Hamza</w:t>
      </w:r>
      <w:proofErr w:type="spellEnd"/>
      <w:r w:rsidRPr="00AD4744">
        <w:rPr>
          <w:sz w:val="28"/>
          <w:szCs w:val="28"/>
        </w:rPr>
        <w:t xml:space="preserve"> Jan</w:t>
      </w:r>
      <w:r w:rsidRPr="005E375B">
        <w:t>*</w:t>
      </w:r>
    </w:p>
    <w:p w:rsidR="005E375B" w:rsidRDefault="005E375B" w:rsidP="005E375B">
      <w:pPr>
        <w:pStyle w:val="NoSpacing"/>
        <w:rPr>
          <w:bCs/>
          <w:i/>
          <w:sz w:val="24"/>
          <w:szCs w:val="24"/>
        </w:rPr>
      </w:pPr>
      <w:r w:rsidRPr="005E375B">
        <w:rPr>
          <w:bCs/>
          <w:i/>
          <w:sz w:val="24"/>
          <w:szCs w:val="24"/>
        </w:rPr>
        <w:t>University of Agriculture, Faisalabad Pakistan</w:t>
      </w:r>
    </w:p>
    <w:p w:rsidR="005E375B" w:rsidRDefault="005E375B" w:rsidP="005E375B">
      <w:pPr>
        <w:pStyle w:val="NoSpacing"/>
        <w:jc w:val="center"/>
        <w:rPr>
          <w:bCs/>
          <w:sz w:val="24"/>
          <w:szCs w:val="24"/>
        </w:rPr>
      </w:pPr>
    </w:p>
    <w:p w:rsidR="005E375B" w:rsidRPr="00AD4744" w:rsidRDefault="005E375B" w:rsidP="005E375B">
      <w:pPr>
        <w:pStyle w:val="NoSpacing"/>
        <w:jc w:val="center"/>
        <w:rPr>
          <w:b/>
          <w:bCs/>
          <w:sz w:val="24"/>
          <w:szCs w:val="24"/>
        </w:rPr>
      </w:pPr>
      <w:r w:rsidRPr="00AD4744">
        <w:rPr>
          <w:b/>
          <w:bCs/>
          <w:sz w:val="24"/>
          <w:szCs w:val="24"/>
        </w:rPr>
        <w:t>Abstract</w:t>
      </w:r>
    </w:p>
    <w:p w:rsidR="005E375B" w:rsidRDefault="005E375B" w:rsidP="005E375B">
      <w:pPr>
        <w:pStyle w:val="NoSpacing"/>
        <w:jc w:val="center"/>
        <w:rPr>
          <w:b/>
          <w:bCs/>
          <w:sz w:val="32"/>
          <w:szCs w:val="32"/>
        </w:rPr>
      </w:pPr>
    </w:p>
    <w:p w:rsidR="005E375B" w:rsidRPr="00AD4744" w:rsidRDefault="005E375B" w:rsidP="00AD4744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AD4744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Polycystic ovary syndrome (PCOS) is the most common endocrine disorder in women during reproductive age. It is characterized clinically by </w:t>
      </w:r>
      <w:proofErr w:type="spellStart"/>
      <w:r w:rsidRPr="00AD4744">
        <w:rPr>
          <w:rFonts w:ascii="Times New Roman" w:hAnsi="Times New Roman" w:cs="Times New Roman"/>
          <w:color w:val="000000" w:themeColor="text1"/>
          <w:sz w:val="20"/>
          <w:szCs w:val="20"/>
        </w:rPr>
        <w:t>oligo</w:t>
      </w:r>
      <w:proofErr w:type="spellEnd"/>
      <w:r w:rsidRPr="00AD4744">
        <w:rPr>
          <w:rFonts w:ascii="Times New Roman" w:hAnsi="Times New Roman" w:cs="Times New Roman"/>
          <w:color w:val="000000" w:themeColor="text1"/>
          <w:sz w:val="20"/>
          <w:szCs w:val="20"/>
        </w:rPr>
        <w:t>-ovulation or anovulation, hyper-</w:t>
      </w:r>
      <w:proofErr w:type="spellStart"/>
      <w:r w:rsidRPr="00AD4744">
        <w:rPr>
          <w:rFonts w:ascii="Times New Roman" w:hAnsi="Times New Roman" w:cs="Times New Roman"/>
          <w:color w:val="000000" w:themeColor="text1"/>
          <w:sz w:val="20"/>
          <w:szCs w:val="20"/>
        </w:rPr>
        <w:t>androgenism</w:t>
      </w:r>
      <w:proofErr w:type="spellEnd"/>
      <w:r w:rsidRPr="00AD4744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, and the presence of polycystic ovaries. It is associated with an increased prevalence of metabolic syndrome, cardiovascular disease and type 2 diabetes. The onset of PCOS has been associated to several hereditary and environmental factors, but insulin resistance plays a key </w:t>
      </w:r>
      <w:proofErr w:type="spellStart"/>
      <w:r w:rsidRPr="00AD4744">
        <w:rPr>
          <w:rFonts w:ascii="Times New Roman" w:hAnsi="Times New Roman" w:cs="Times New Roman"/>
          <w:color w:val="000000" w:themeColor="text1"/>
          <w:sz w:val="20"/>
          <w:szCs w:val="20"/>
        </w:rPr>
        <w:t>pathogenetic</w:t>
      </w:r>
      <w:proofErr w:type="spellEnd"/>
      <w:r w:rsidRPr="00AD4744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role. We sought to investigate the effects of a </w:t>
      </w:r>
      <w:proofErr w:type="spellStart"/>
      <w:r w:rsidRPr="00AD4744">
        <w:rPr>
          <w:rFonts w:ascii="Times New Roman" w:hAnsi="Times New Roman" w:cs="Times New Roman"/>
          <w:color w:val="000000" w:themeColor="text1"/>
          <w:sz w:val="20"/>
          <w:szCs w:val="20"/>
        </w:rPr>
        <w:t>ketogenic</w:t>
      </w:r>
      <w:proofErr w:type="spellEnd"/>
      <w:r w:rsidRPr="00AD4744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diet (KD) on women of childbearing age with a diagnosis of PCOS. Fourteen overweight women with diagnosis of PCOS underwent to a </w:t>
      </w:r>
      <w:proofErr w:type="spellStart"/>
      <w:r w:rsidRPr="00AD4744">
        <w:rPr>
          <w:rFonts w:ascii="Times New Roman" w:hAnsi="Times New Roman" w:cs="Times New Roman"/>
          <w:color w:val="000000" w:themeColor="text1"/>
          <w:sz w:val="20"/>
          <w:szCs w:val="20"/>
        </w:rPr>
        <w:t>ketogenic</w:t>
      </w:r>
      <w:proofErr w:type="spellEnd"/>
      <w:r w:rsidRPr="00AD4744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Mediterranean diet with </w:t>
      </w:r>
      <w:proofErr w:type="spellStart"/>
      <w:r w:rsidRPr="00AD4744">
        <w:rPr>
          <w:rFonts w:ascii="Times New Roman" w:hAnsi="Times New Roman" w:cs="Times New Roman"/>
          <w:color w:val="000000" w:themeColor="text1"/>
          <w:sz w:val="20"/>
          <w:szCs w:val="20"/>
        </w:rPr>
        <w:t>phyoextracts</w:t>
      </w:r>
      <w:proofErr w:type="spellEnd"/>
      <w:r w:rsidRPr="00AD4744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(KEMEPHY) for 12 week. Changes in body weight, body mass index (BMI), fat body mass (FBM), lean body mass (LBM), visceral adipose tissue (VAT), insulin, glucose, HOMA-IR, total cholesterol, low density lipoprotein (LDL), high density lipoprotein (HDL), triglycerides (TGs), total and free testosterone, luteinizing hormone (LH), follicle stimulating hormone (FSH); </w:t>
      </w:r>
      <w:proofErr w:type="spellStart"/>
      <w:r w:rsidRPr="00AD4744">
        <w:rPr>
          <w:rFonts w:ascii="Times New Roman" w:hAnsi="Times New Roman" w:cs="Times New Roman"/>
          <w:color w:val="000000" w:themeColor="text1"/>
          <w:sz w:val="20"/>
          <w:szCs w:val="20"/>
        </w:rPr>
        <w:t>dehydroepiandrosterone</w:t>
      </w:r>
      <w:proofErr w:type="spellEnd"/>
      <w:r w:rsidRPr="00AD4744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sulfate (DHEAs), estradiol, progesterone, sex hormone binding globulin (SHBG) and </w:t>
      </w:r>
      <w:proofErr w:type="spellStart"/>
      <w:r w:rsidRPr="00AD4744">
        <w:rPr>
          <w:rFonts w:ascii="Times New Roman" w:hAnsi="Times New Roman" w:cs="Times New Roman"/>
          <w:color w:val="000000" w:themeColor="text1"/>
          <w:sz w:val="20"/>
          <w:szCs w:val="20"/>
        </w:rPr>
        <w:t>Ferriman</w:t>
      </w:r>
      <w:proofErr w:type="spellEnd"/>
      <w:r w:rsidRPr="00AD4744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proofErr w:type="spellStart"/>
      <w:r w:rsidRPr="00AD4744">
        <w:rPr>
          <w:rFonts w:ascii="Times New Roman" w:hAnsi="Times New Roman" w:cs="Times New Roman"/>
          <w:color w:val="000000" w:themeColor="text1"/>
          <w:sz w:val="20"/>
          <w:szCs w:val="20"/>
        </w:rPr>
        <w:t>Gallwey</w:t>
      </w:r>
      <w:proofErr w:type="spellEnd"/>
      <w:r w:rsidRPr="00AD4744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score were evaluated. After 12 weeks, anthropometric and body composition measurements revealed a significant reduction of body weight (− 9.43 kg), BMI (− 3.35), FBM (8.29 kg) and VAT. There was a significant, slightly decrease of LBM. </w:t>
      </w:r>
      <w:proofErr w:type="gramStart"/>
      <w:r w:rsidRPr="00AD4744">
        <w:rPr>
          <w:rFonts w:ascii="Times New Roman" w:hAnsi="Times New Roman" w:cs="Times New Roman"/>
          <w:color w:val="000000" w:themeColor="text1"/>
          <w:sz w:val="20"/>
          <w:szCs w:val="20"/>
        </w:rPr>
        <w:t>A significant decrease in glucose and insulin blood levels were</w:t>
      </w:r>
      <w:proofErr w:type="gramEnd"/>
      <w:r w:rsidRPr="00AD4744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observed, together with a significant improvement of HOMA-IR. A significant decrease of triglycerides, total cholesterol and LDL were observed along with a rise in HDL levels. The LH/FSH ratio, LH total and free testosterone, and DHEAS blood levels were also significantly reduced. Estradiol, progesterone and SHBG increased. The </w:t>
      </w:r>
      <w:proofErr w:type="spellStart"/>
      <w:r w:rsidRPr="00AD4744">
        <w:rPr>
          <w:rFonts w:ascii="Times New Roman" w:hAnsi="Times New Roman" w:cs="Times New Roman"/>
          <w:color w:val="000000" w:themeColor="text1"/>
          <w:sz w:val="20"/>
          <w:szCs w:val="20"/>
        </w:rPr>
        <w:t>Ferriman</w:t>
      </w:r>
      <w:proofErr w:type="spellEnd"/>
      <w:r w:rsidRPr="00AD4744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proofErr w:type="spellStart"/>
      <w:r w:rsidRPr="00AD4744">
        <w:rPr>
          <w:rFonts w:ascii="Times New Roman" w:hAnsi="Times New Roman" w:cs="Times New Roman"/>
          <w:color w:val="000000" w:themeColor="text1"/>
          <w:sz w:val="20"/>
          <w:szCs w:val="20"/>
        </w:rPr>
        <w:t>Gallwey</w:t>
      </w:r>
      <w:proofErr w:type="spellEnd"/>
      <w:r w:rsidRPr="00AD4744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Score was slightly, although not significantly, reduced.</w:t>
      </w:r>
    </w:p>
    <w:p w:rsidR="005E375B" w:rsidRPr="00AD4744" w:rsidRDefault="005E375B" w:rsidP="00AD4744">
      <w:pPr>
        <w:spacing w:line="360" w:lineRule="auto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  <w:r w:rsidRPr="00AD4744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Conclusions:</w:t>
      </w:r>
    </w:p>
    <w:p w:rsidR="005E375B" w:rsidRPr="00AD4744" w:rsidRDefault="005E375B" w:rsidP="00AD4744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AD4744">
        <w:rPr>
          <w:rFonts w:ascii="Times New Roman" w:hAnsi="Times New Roman" w:cs="Times New Roman"/>
          <w:color w:val="000000" w:themeColor="text1"/>
          <w:sz w:val="20"/>
          <w:szCs w:val="20"/>
        </w:rPr>
        <w:t>Our results suggest that a KD may be considered as a valuable non-pharmacological treatment for PCOS. Longer treatment periods should be tested to verify the effect of a KD on the dermatological aspects of PCOS.</w:t>
      </w:r>
    </w:p>
    <w:p w:rsidR="005E375B" w:rsidRDefault="00F42978" w:rsidP="005E375B">
      <w:pPr>
        <w:spacing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F4297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References:</w:t>
      </w:r>
    </w:p>
    <w:p w:rsidR="00F42978" w:rsidRDefault="00F42978" w:rsidP="00F42978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1.Trikudanathan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S. Polycystic ovarian syndrome. Med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Clin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North Am. 2015</w:t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;99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</w:rPr>
        <w:t>(1):221–35.</w:t>
      </w:r>
    </w:p>
    <w:p w:rsidR="00F42978" w:rsidRDefault="00F42978" w:rsidP="00F42978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2.Sirmans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SM, Pate KA. </w:t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Epidemiology, diagnosis, and management of polycystic ovary syndrome.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Clin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Epidemiol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>. 2013</w:t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;6:1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</w:rPr>
        <w:t>–13.</w:t>
      </w:r>
    </w:p>
    <w:p w:rsidR="00F42978" w:rsidRDefault="00F42978" w:rsidP="00F42978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3.Palomba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S,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Falbo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A,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Chiossi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G,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Muscogiuri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G,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Fornaciari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E,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Orio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F, et al. Lipid profile in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nonobese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pregnant women with polycystic ovary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syn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drome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a prospective controlled clinical study. </w:t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Steroids.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2014</w:t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;88:36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</w:rPr>
        <w:t>–43.</w:t>
      </w:r>
    </w:p>
    <w:p w:rsidR="00F42978" w:rsidRDefault="00F42978" w:rsidP="00F42978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4.El Hayek S,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Bitar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L,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Hamdar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LH,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Mirza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FG,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Daoud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G. Poly cystic ovarian syndrome: an updated overview. Front Physiol. 2016</w:t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;7:124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F42978" w:rsidRDefault="00F42978" w:rsidP="00F42978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5.Larner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J,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Brautigan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DL,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Thorner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MO. D-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chiro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-inositol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glycans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 insulin signaling and insulin resistance.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Mol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Med. 2010</w:t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;16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</w:rPr>
        <w:t>(11–12):543–52.</w:t>
      </w:r>
    </w:p>
    <w:p w:rsidR="00F42978" w:rsidRDefault="00F42978" w:rsidP="005E375B">
      <w:pPr>
        <w:spacing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Biography: </w:t>
      </w:r>
    </w:p>
    <w:p w:rsidR="00F42978" w:rsidRPr="00AD4744" w:rsidRDefault="00F42978" w:rsidP="00AD4744">
      <w:pPr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AD4744">
        <w:rPr>
          <w:rFonts w:ascii="Times New Roman" w:hAnsi="Times New Roman" w:cs="Times New Roman"/>
          <w:sz w:val="20"/>
          <w:szCs w:val="20"/>
          <w:shd w:val="clear" w:color="auto" w:fill="FFFFFF"/>
        </w:rPr>
        <w:t>Hamza</w:t>
      </w:r>
      <w:proofErr w:type="spellEnd"/>
      <w:r w:rsidRPr="00AD4744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Jan received his MSc. (</w:t>
      </w:r>
      <w:proofErr w:type="spellStart"/>
      <w:r w:rsidRPr="00AD4744">
        <w:rPr>
          <w:rFonts w:ascii="Times New Roman" w:hAnsi="Times New Roman" w:cs="Times New Roman"/>
          <w:sz w:val="20"/>
          <w:szCs w:val="20"/>
          <w:shd w:val="clear" w:color="auto" w:fill="FFFFFF"/>
        </w:rPr>
        <w:t>Hons</w:t>
      </w:r>
      <w:proofErr w:type="spellEnd"/>
      <w:r w:rsidRPr="00AD4744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) with research domain in Human Nutrition &amp; Dietetics in the year 2020 from the University of Agriculture, Faisalabad (UAF) under the supervision of Dr. </w:t>
      </w:r>
      <w:proofErr w:type="spellStart"/>
      <w:r w:rsidRPr="00AD4744">
        <w:rPr>
          <w:rFonts w:ascii="Times New Roman" w:hAnsi="Times New Roman" w:cs="Times New Roman"/>
          <w:sz w:val="20"/>
          <w:szCs w:val="20"/>
          <w:shd w:val="clear" w:color="auto" w:fill="FFFFFF"/>
        </w:rPr>
        <w:t>Aysha</w:t>
      </w:r>
      <w:proofErr w:type="spellEnd"/>
      <w:r w:rsidRPr="00AD4744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</w:t>
      </w:r>
      <w:proofErr w:type="spellStart"/>
      <w:r w:rsidRPr="00AD4744">
        <w:rPr>
          <w:rFonts w:ascii="Times New Roman" w:hAnsi="Times New Roman" w:cs="Times New Roman"/>
          <w:sz w:val="20"/>
          <w:szCs w:val="20"/>
          <w:shd w:val="clear" w:color="auto" w:fill="FFFFFF"/>
        </w:rPr>
        <w:t>Sameen</w:t>
      </w:r>
      <w:proofErr w:type="spellEnd"/>
      <w:r w:rsidRPr="00AD4744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. Currently, he is serving as Head of the Human Nutrition &amp; Dietetics Department in AL-RAZI Institute Lahore. His research interests focus on the Development &amp; Quality Evaluation of Cheese Spread Enriched with Branched Chain Amino Acids in experimental subjects to assess associated health benefits. He also </w:t>
      </w:r>
      <w:proofErr w:type="gramStart"/>
      <w:r w:rsidRPr="00AD4744">
        <w:rPr>
          <w:rFonts w:ascii="Times New Roman" w:hAnsi="Times New Roman" w:cs="Times New Roman"/>
          <w:sz w:val="20"/>
          <w:szCs w:val="20"/>
          <w:shd w:val="clear" w:color="auto" w:fill="FFFFFF"/>
        </w:rPr>
        <w:t>Working</w:t>
      </w:r>
      <w:proofErr w:type="gramEnd"/>
      <w:r w:rsidRPr="00AD4744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on Community Nutrition with Aim of Provide Nutritional Awareness at National Level.</w:t>
      </w:r>
    </w:p>
    <w:p w:rsidR="00F42978" w:rsidRPr="00F42978" w:rsidRDefault="00F42978" w:rsidP="005E375B">
      <w:pPr>
        <w:spacing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bookmarkStart w:id="0" w:name="_GoBack"/>
      <w:bookmarkEnd w:id="0"/>
    </w:p>
    <w:p w:rsidR="00F42978" w:rsidRDefault="00F42978" w:rsidP="005E375B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E375B" w:rsidRPr="005E375B" w:rsidRDefault="005E375B" w:rsidP="005E375B">
      <w:pPr>
        <w:pStyle w:val="NoSpacing"/>
        <w:jc w:val="center"/>
        <w:rPr>
          <w:b/>
          <w:bCs/>
          <w:sz w:val="32"/>
          <w:szCs w:val="32"/>
        </w:rPr>
      </w:pPr>
    </w:p>
    <w:p w:rsidR="00620F46" w:rsidRDefault="00620F46"/>
    <w:sectPr w:rsidR="00620F4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375B"/>
    <w:rsid w:val="005E375B"/>
    <w:rsid w:val="00620F46"/>
    <w:rsid w:val="00AD4744"/>
    <w:rsid w:val="00F42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375B"/>
    <w:pPr>
      <w:spacing w:after="160" w:line="256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E375B"/>
    <w:pPr>
      <w:spacing w:after="0" w:line="240" w:lineRule="auto"/>
    </w:pPr>
    <w:rPr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375B"/>
    <w:pPr>
      <w:spacing w:after="160" w:line="256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E375B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856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23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8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537</Words>
  <Characters>3061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omics</dc:creator>
  <cp:lastModifiedBy>omics</cp:lastModifiedBy>
  <cp:revision>2</cp:revision>
  <dcterms:created xsi:type="dcterms:W3CDTF">2023-01-25T04:09:00Z</dcterms:created>
  <dcterms:modified xsi:type="dcterms:W3CDTF">2023-01-25T07:11:00Z</dcterms:modified>
</cp:coreProperties>
</file>