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8158B" w14:textId="6997B5A2" w:rsidR="00B9628A" w:rsidRDefault="00B9628A" w:rsidP="000534A1">
      <w:pPr>
        <w:pStyle w:val="Heading1"/>
        <w:spacing w:before="170"/>
        <w:ind w:left="0"/>
        <w:jc w:val="both"/>
      </w:pPr>
      <w:r w:rsidRPr="00B9628A">
        <w:rPr>
          <w:color w:val="337AB7"/>
        </w:rPr>
        <w:t xml:space="preserve">Comparable b2a2/e13a2 and b3a2/e14a2 reporting in Xpert® BCR-ABL Ultra when calibrated by WHO </w:t>
      </w:r>
      <w:r w:rsidRPr="00E11B51">
        <w:rPr>
          <w:i/>
          <w:iCs/>
          <w:color w:val="337AB7"/>
        </w:rPr>
        <w:t>IS</w:t>
      </w:r>
      <w:r w:rsidRPr="00B9628A">
        <w:rPr>
          <w:color w:val="337AB7"/>
        </w:rPr>
        <w:t xml:space="preserve"> and by IVT-RNA Copy Number</w:t>
      </w:r>
    </w:p>
    <w:p w14:paraId="1A21A29D" w14:textId="3AC3ECC1" w:rsidR="004614AF" w:rsidRPr="0062625C" w:rsidRDefault="004614AF" w:rsidP="004249F0">
      <w:pPr>
        <w:pStyle w:val="Heading1"/>
        <w:spacing w:before="170"/>
        <w:ind w:left="0"/>
        <w:jc w:val="both"/>
        <w:rPr>
          <w:rFonts w:ascii="Tw Cen MT" w:eastAsia="Tw Cen MT" w:hAnsi="Tw Cen MT" w:cs="Tw Cen MT"/>
          <w:b w:val="0"/>
          <w:bCs w:val="0"/>
          <w:sz w:val="18"/>
          <w:szCs w:val="18"/>
        </w:rPr>
      </w:pPr>
      <w:r w:rsidRPr="0062625C">
        <w:rPr>
          <w:rFonts w:ascii="Tw Cen MT" w:eastAsia="Tw Cen MT" w:hAnsi="Tw Cen MT" w:cs="Tw Cen MT"/>
          <w:b w:val="0"/>
          <w:bCs w:val="0"/>
          <w:sz w:val="18"/>
          <w:szCs w:val="18"/>
        </w:rPr>
        <w:t>Huilin Wei, Tran Tran, Jessica Saini, Krupa Shridhar,</w:t>
      </w:r>
      <w:r w:rsidR="00271CF5" w:rsidRPr="0062625C">
        <w:rPr>
          <w:rFonts w:ascii="Tw Cen MT" w:eastAsia="Tw Cen MT" w:hAnsi="Tw Cen MT" w:cs="Tw Cen MT"/>
          <w:b w:val="0"/>
          <w:bCs w:val="0"/>
          <w:sz w:val="18"/>
          <w:szCs w:val="18"/>
        </w:rPr>
        <w:t xml:space="preserve"> Nick Wang,</w:t>
      </w:r>
      <w:r w:rsidRPr="0062625C">
        <w:rPr>
          <w:rFonts w:ascii="Tw Cen MT" w:eastAsia="Tw Cen MT" w:hAnsi="Tw Cen MT" w:cs="Tw Cen MT"/>
          <w:b w:val="0"/>
          <w:bCs w:val="0"/>
          <w:sz w:val="18"/>
          <w:szCs w:val="18"/>
        </w:rPr>
        <w:t xml:space="preserve"> Gwo-Jen Day</w:t>
      </w:r>
    </w:p>
    <w:p w14:paraId="6CFF7180" w14:textId="7C1FFBC3" w:rsidR="005973B9" w:rsidRPr="0062625C" w:rsidRDefault="004614AF" w:rsidP="004249F0">
      <w:pPr>
        <w:pStyle w:val="BodyText"/>
        <w:spacing w:line="198" w:lineRule="exact"/>
        <w:ind w:right="5987"/>
      </w:pPr>
      <w:r w:rsidRPr="0062625C">
        <w:t>Oncology R&amp;D, Cepheid, Sunnyvale, USA</w:t>
      </w:r>
    </w:p>
    <w:p w14:paraId="1EB23A35" w14:textId="77777777" w:rsidR="00AE3E37" w:rsidRDefault="00AE3E37">
      <w:pPr>
        <w:pStyle w:val="BodyText"/>
        <w:rPr>
          <w:rFonts w:ascii="Arial"/>
          <w:sz w:val="20"/>
        </w:rPr>
      </w:pPr>
    </w:p>
    <w:p w14:paraId="366FBCBA" w14:textId="77777777" w:rsidR="00AE3E37" w:rsidRDefault="00AE3E37">
      <w:pPr>
        <w:rPr>
          <w:rFonts w:ascii="Arial"/>
          <w:sz w:val="21"/>
        </w:rPr>
        <w:sectPr w:rsidR="00AE3E37" w:rsidSect="008E5477">
          <w:headerReference w:type="even" r:id="rId10"/>
          <w:headerReference w:type="default" r:id="rId11"/>
          <w:footerReference w:type="even" r:id="rId12"/>
          <w:footerReference w:type="default" r:id="rId13"/>
          <w:headerReference w:type="first" r:id="rId14"/>
          <w:footerReference w:type="first" r:id="rId15"/>
          <w:type w:val="continuous"/>
          <w:pgSz w:w="11910" w:h="16840"/>
          <w:pgMar w:top="995" w:right="600" w:bottom="840" w:left="620" w:header="0" w:footer="0" w:gutter="0"/>
          <w:cols w:space="720"/>
          <w:docGrid w:linePitch="299"/>
        </w:sectPr>
      </w:pPr>
    </w:p>
    <w:p w14:paraId="77A7EB42" w14:textId="47640747" w:rsidR="00AE3E37" w:rsidRDefault="00A9710C">
      <w:pPr>
        <w:pStyle w:val="Heading3"/>
        <w:spacing w:before="147"/>
        <w:jc w:val="both"/>
      </w:pPr>
      <w:r>
        <w:rPr>
          <w:color w:val="BF5A14"/>
        </w:rPr>
        <w:t>Abstract</w:t>
      </w:r>
      <w:r w:rsidR="00404E5B">
        <w:rPr>
          <w:color w:val="BF5A14"/>
        </w:rPr>
        <w:t xml:space="preserve"> </w:t>
      </w:r>
    </w:p>
    <w:p w14:paraId="2AC9CAE3" w14:textId="66E74895" w:rsidR="00271CF5" w:rsidRPr="00132EBC" w:rsidRDefault="00271CF5" w:rsidP="00271CF5">
      <w:pPr>
        <w:pStyle w:val="Heading3"/>
        <w:spacing w:before="147" w:line="360" w:lineRule="auto"/>
        <w:jc w:val="both"/>
        <w:rPr>
          <w:rFonts w:ascii="Tw Cen MT" w:hAnsi="Tw Cen MT"/>
          <w:b w:val="0"/>
          <w:bCs w:val="0"/>
          <w:sz w:val="18"/>
          <w:szCs w:val="18"/>
        </w:rPr>
      </w:pPr>
      <w:bookmarkStart w:id="0" w:name="_Hlk124539450"/>
      <w:r w:rsidRPr="004249F0">
        <w:rPr>
          <w:rFonts w:ascii="Tw Cen MT" w:hAnsi="Tw Cen MT"/>
          <w:sz w:val="18"/>
          <w:szCs w:val="18"/>
        </w:rPr>
        <w:t xml:space="preserve">Introduction: </w:t>
      </w:r>
      <w:r w:rsidRPr="00132EBC">
        <w:rPr>
          <w:rFonts w:ascii="Tw Cen MT" w:eastAsia="Tw Cen MT" w:hAnsi="Tw Cen MT" w:cs="Tw Cen MT"/>
          <w:b w:val="0"/>
          <w:bCs w:val="0"/>
          <w:sz w:val="18"/>
          <w:szCs w:val="18"/>
        </w:rPr>
        <w:t>Xpert® BCR-ABL Ultra,</w:t>
      </w:r>
      <w:r w:rsidR="000A31ED" w:rsidRPr="00132EBC">
        <w:rPr>
          <w:rFonts w:ascii="Tw Cen MT" w:eastAsia="Tw Cen MT" w:hAnsi="Tw Cen MT" w:cs="Tw Cen MT"/>
          <w:b w:val="0"/>
          <w:bCs w:val="0"/>
          <w:sz w:val="18"/>
          <w:szCs w:val="18"/>
        </w:rPr>
        <w:t xml:space="preserve"> </w:t>
      </w:r>
      <w:r w:rsidRPr="00132EBC">
        <w:rPr>
          <w:rFonts w:ascii="Tw Cen MT" w:eastAsia="Tw Cen MT" w:hAnsi="Tw Cen MT" w:cs="Tw Cen MT"/>
          <w:b w:val="0"/>
          <w:bCs w:val="0"/>
          <w:sz w:val="18"/>
          <w:szCs w:val="18"/>
        </w:rPr>
        <w:t xml:space="preserve">automated cartridge-based assay for monitoring BCR-ABL transcript levels, is calibrated by WHO </w:t>
      </w:r>
      <w:r w:rsidRPr="004249F0">
        <w:rPr>
          <w:rFonts w:ascii="Tw Cen MT" w:eastAsia="Tw Cen MT" w:hAnsi="Tw Cen MT" w:cs="Tw Cen MT"/>
          <w:b w:val="0"/>
          <w:bCs w:val="0"/>
          <w:i/>
          <w:iCs/>
          <w:sz w:val="18"/>
          <w:szCs w:val="18"/>
        </w:rPr>
        <w:t>IS</w:t>
      </w:r>
      <w:r w:rsidRPr="00132EBC">
        <w:rPr>
          <w:rFonts w:ascii="Tw Cen MT" w:eastAsia="Tw Cen MT" w:hAnsi="Tw Cen MT" w:cs="Tw Cen MT"/>
          <w:b w:val="0"/>
          <w:bCs w:val="0"/>
          <w:sz w:val="18"/>
          <w:szCs w:val="18"/>
        </w:rPr>
        <w:t xml:space="preserve"> to standardize the %reporting </w:t>
      </w:r>
      <w:r w:rsidR="000C30B1" w:rsidRPr="00132EBC">
        <w:rPr>
          <w:rFonts w:ascii="Tw Cen MT" w:eastAsia="Tw Cen MT" w:hAnsi="Tw Cen MT" w:cs="Tw Cen MT"/>
          <w:b w:val="0"/>
          <w:bCs w:val="0"/>
          <w:sz w:val="18"/>
          <w:szCs w:val="18"/>
        </w:rPr>
        <w:t>for</w:t>
      </w:r>
      <w:r w:rsidRPr="00132EBC">
        <w:rPr>
          <w:rFonts w:ascii="Tw Cen MT" w:eastAsia="Tw Cen MT" w:hAnsi="Tw Cen MT" w:cs="Tw Cen MT"/>
          <w:b w:val="0"/>
          <w:bCs w:val="0"/>
          <w:sz w:val="18"/>
          <w:szCs w:val="18"/>
        </w:rPr>
        <w:t xml:space="preserve"> both b2a2/e13a2 BCR</w:t>
      </w:r>
      <w:r w:rsidR="00282CFD" w:rsidRPr="00132EBC">
        <w:rPr>
          <w:rFonts w:ascii="Tw Cen MT" w:eastAsia="Tw Cen MT" w:hAnsi="Tw Cen MT" w:cs="Tw Cen MT"/>
          <w:b w:val="0"/>
          <w:bCs w:val="0"/>
          <w:sz w:val="18"/>
          <w:szCs w:val="18"/>
        </w:rPr>
        <w:t>-</w:t>
      </w:r>
      <w:r w:rsidRPr="00132EBC">
        <w:rPr>
          <w:rFonts w:ascii="Tw Cen MT" w:eastAsia="Tw Cen MT" w:hAnsi="Tw Cen MT" w:cs="Tw Cen MT"/>
          <w:b w:val="0"/>
          <w:bCs w:val="0"/>
          <w:sz w:val="18"/>
          <w:szCs w:val="18"/>
        </w:rPr>
        <w:t>ABL (e13a2) and b3a2/e14a2 BCR</w:t>
      </w:r>
      <w:r w:rsidR="00282CFD" w:rsidRPr="00132EBC">
        <w:rPr>
          <w:rFonts w:ascii="Tw Cen MT" w:eastAsia="Tw Cen MT" w:hAnsi="Tw Cen MT" w:cs="Tw Cen MT"/>
          <w:b w:val="0"/>
          <w:bCs w:val="0"/>
          <w:sz w:val="18"/>
          <w:szCs w:val="18"/>
        </w:rPr>
        <w:t>-</w:t>
      </w:r>
      <w:r w:rsidRPr="00132EBC">
        <w:rPr>
          <w:rFonts w:ascii="Tw Cen MT" w:eastAsia="Tw Cen MT" w:hAnsi="Tw Cen MT" w:cs="Tw Cen MT"/>
          <w:b w:val="0"/>
          <w:bCs w:val="0"/>
          <w:sz w:val="18"/>
          <w:szCs w:val="18"/>
        </w:rPr>
        <w:t>ABL (e14a2) relative to</w:t>
      </w:r>
      <w:r w:rsidR="00282CFD" w:rsidRPr="00132EBC">
        <w:rPr>
          <w:rFonts w:ascii="Tw Cen MT" w:eastAsia="Tw Cen MT" w:hAnsi="Tw Cen MT" w:cs="Tw Cen MT"/>
          <w:b w:val="0"/>
          <w:bCs w:val="0"/>
          <w:sz w:val="18"/>
          <w:szCs w:val="18"/>
        </w:rPr>
        <w:t xml:space="preserve"> </w:t>
      </w:r>
      <w:r w:rsidRPr="00132EBC">
        <w:rPr>
          <w:rFonts w:ascii="Tw Cen MT" w:eastAsia="Tw Cen MT" w:hAnsi="Tw Cen MT" w:cs="Tw Cen MT"/>
          <w:b w:val="0"/>
          <w:bCs w:val="0"/>
          <w:sz w:val="18"/>
          <w:szCs w:val="18"/>
        </w:rPr>
        <w:t>control ABL gene in peripheral blood of patients as a standard management of Chronic Myeloid Leukemia (CML)</w:t>
      </w:r>
      <w:r w:rsidR="00282CFD" w:rsidRPr="00132EBC">
        <w:rPr>
          <w:rFonts w:ascii="Tw Cen MT" w:eastAsia="Tw Cen MT" w:hAnsi="Tw Cen MT" w:cs="Tw Cen MT"/>
          <w:b w:val="0"/>
          <w:bCs w:val="0"/>
          <w:sz w:val="18"/>
          <w:szCs w:val="18"/>
        </w:rPr>
        <w:t xml:space="preserve"> </w:t>
      </w:r>
      <w:r w:rsidR="00282CFD" w:rsidRPr="00C94FDD">
        <w:rPr>
          <w:rFonts w:ascii="Tw Cen MT" w:eastAsia="Tw Cen MT" w:hAnsi="Tw Cen MT" w:cs="Tw Cen MT"/>
          <w:b w:val="0"/>
          <w:bCs w:val="0"/>
          <w:sz w:val="18"/>
          <w:szCs w:val="18"/>
          <w:vertAlign w:val="superscript"/>
        </w:rPr>
        <w:t>[1]</w:t>
      </w:r>
      <w:r w:rsidRPr="00132EBC">
        <w:rPr>
          <w:rFonts w:ascii="Tw Cen MT" w:eastAsia="Tw Cen MT" w:hAnsi="Tw Cen MT" w:cs="Tw Cen MT"/>
          <w:b w:val="0"/>
          <w:bCs w:val="0"/>
          <w:sz w:val="18"/>
          <w:szCs w:val="18"/>
        </w:rPr>
        <w:t xml:space="preserve">. Studies have shown differences in patients carrying e13a2 or e14a2 in molecular response to Tyrosine Kinase Inhibitor (TKI) </w:t>
      </w:r>
      <w:r w:rsidR="00282CFD" w:rsidRPr="00132EBC">
        <w:rPr>
          <w:rFonts w:ascii="Tw Cen MT" w:eastAsia="Tw Cen MT" w:hAnsi="Tw Cen MT" w:cs="Tw Cen MT"/>
          <w:b w:val="0"/>
          <w:bCs w:val="0"/>
          <w:sz w:val="18"/>
          <w:szCs w:val="18"/>
        </w:rPr>
        <w:t xml:space="preserve">treatment </w:t>
      </w:r>
      <w:r w:rsidR="00282CFD" w:rsidRPr="00C94FDD">
        <w:rPr>
          <w:rFonts w:ascii="Tw Cen MT" w:eastAsia="Tw Cen MT" w:hAnsi="Tw Cen MT" w:cs="Tw Cen MT"/>
          <w:b w:val="0"/>
          <w:bCs w:val="0"/>
          <w:sz w:val="18"/>
          <w:szCs w:val="18"/>
          <w:vertAlign w:val="superscript"/>
        </w:rPr>
        <w:t>[2-4</w:t>
      </w:r>
      <w:r w:rsidRPr="00C94FDD">
        <w:rPr>
          <w:rFonts w:ascii="Tw Cen MT" w:eastAsia="Tw Cen MT" w:hAnsi="Tw Cen MT" w:cs="Tw Cen MT"/>
          <w:b w:val="0"/>
          <w:bCs w:val="0"/>
          <w:sz w:val="18"/>
          <w:szCs w:val="18"/>
          <w:vertAlign w:val="superscript"/>
        </w:rPr>
        <w:t>]</w:t>
      </w:r>
      <w:r w:rsidRPr="00132EBC">
        <w:rPr>
          <w:rFonts w:ascii="Tw Cen MT" w:eastAsia="Tw Cen MT" w:hAnsi="Tw Cen MT" w:cs="Tw Cen MT"/>
          <w:b w:val="0"/>
          <w:bCs w:val="0"/>
          <w:sz w:val="18"/>
          <w:szCs w:val="18"/>
        </w:rPr>
        <w:t xml:space="preserve">. Therefore, it is necessary to </w:t>
      </w:r>
      <w:r w:rsidR="009050E5">
        <w:rPr>
          <w:rFonts w:ascii="Tw Cen MT" w:eastAsia="Tw Cen MT" w:hAnsi="Tw Cen MT" w:cs="Tw Cen MT"/>
          <w:b w:val="0"/>
          <w:bCs w:val="0"/>
          <w:sz w:val="18"/>
          <w:szCs w:val="18"/>
        </w:rPr>
        <w:t xml:space="preserve">understand if there is %reporting differences between two transcripts calibrated by WHO </w:t>
      </w:r>
      <w:r w:rsidR="009050E5" w:rsidRPr="0083370B">
        <w:rPr>
          <w:rFonts w:ascii="Tw Cen MT" w:eastAsia="Tw Cen MT" w:hAnsi="Tw Cen MT" w:cs="Tw Cen MT"/>
          <w:b w:val="0"/>
          <w:bCs w:val="0"/>
          <w:i/>
          <w:iCs/>
          <w:sz w:val="18"/>
          <w:szCs w:val="18"/>
        </w:rPr>
        <w:t>IS</w:t>
      </w:r>
      <w:r w:rsidR="009050E5">
        <w:rPr>
          <w:rFonts w:ascii="Tw Cen MT" w:eastAsia="Tw Cen MT" w:hAnsi="Tw Cen MT" w:cs="Tw Cen MT"/>
          <w:b w:val="0"/>
          <w:bCs w:val="0"/>
          <w:sz w:val="18"/>
          <w:szCs w:val="18"/>
        </w:rPr>
        <w:t xml:space="preserve"> </w:t>
      </w:r>
      <w:r w:rsidR="0083370B" w:rsidRPr="00C94FDD">
        <w:rPr>
          <w:rFonts w:ascii="Tw Cen MT" w:eastAsia="Tw Cen MT" w:hAnsi="Tw Cen MT" w:cs="Tw Cen MT"/>
          <w:b w:val="0"/>
          <w:bCs w:val="0"/>
          <w:sz w:val="18"/>
          <w:szCs w:val="18"/>
          <w:vertAlign w:val="superscript"/>
        </w:rPr>
        <w:t>[</w:t>
      </w:r>
      <w:r w:rsidR="009050E5" w:rsidRPr="00C94FDD">
        <w:rPr>
          <w:rFonts w:ascii="Tw Cen MT" w:eastAsia="Tw Cen MT" w:hAnsi="Tw Cen MT" w:cs="Tw Cen MT"/>
          <w:b w:val="0"/>
          <w:bCs w:val="0"/>
          <w:sz w:val="18"/>
          <w:szCs w:val="18"/>
          <w:vertAlign w:val="superscript"/>
        </w:rPr>
        <w:t>5</w:t>
      </w:r>
      <w:r w:rsidR="0083370B" w:rsidRPr="00C94FDD">
        <w:rPr>
          <w:rFonts w:ascii="Tw Cen MT" w:eastAsia="Tw Cen MT" w:hAnsi="Tw Cen MT" w:cs="Tw Cen MT"/>
          <w:b w:val="0"/>
          <w:bCs w:val="0"/>
          <w:sz w:val="18"/>
          <w:szCs w:val="18"/>
          <w:vertAlign w:val="superscript"/>
        </w:rPr>
        <w:t>]</w:t>
      </w:r>
      <w:r w:rsidR="0083370B">
        <w:rPr>
          <w:rFonts w:ascii="Tw Cen MT" w:eastAsia="Tw Cen MT" w:hAnsi="Tw Cen MT" w:cs="Tw Cen MT"/>
          <w:b w:val="0"/>
          <w:bCs w:val="0"/>
          <w:sz w:val="18"/>
          <w:szCs w:val="18"/>
        </w:rPr>
        <w:t xml:space="preserve"> and </w:t>
      </w:r>
      <w:r w:rsidRPr="00132EBC">
        <w:rPr>
          <w:rFonts w:ascii="Tw Cen MT" w:eastAsia="Tw Cen MT" w:hAnsi="Tw Cen MT" w:cs="Tw Cen MT"/>
          <w:b w:val="0"/>
          <w:bCs w:val="0"/>
          <w:sz w:val="18"/>
          <w:szCs w:val="18"/>
        </w:rPr>
        <w:t>explore</w:t>
      </w:r>
      <w:r w:rsidR="000C30B1" w:rsidRPr="00132EBC">
        <w:rPr>
          <w:rFonts w:ascii="Tw Cen MT" w:eastAsia="Tw Cen MT" w:hAnsi="Tw Cen MT" w:cs="Tw Cen MT"/>
          <w:b w:val="0"/>
          <w:bCs w:val="0"/>
          <w:sz w:val="18"/>
          <w:szCs w:val="18"/>
        </w:rPr>
        <w:t xml:space="preserve"> </w:t>
      </w:r>
      <w:r w:rsidR="0083370B">
        <w:rPr>
          <w:rFonts w:ascii="Tw Cen MT" w:eastAsia="Tw Cen MT" w:hAnsi="Tw Cen MT" w:cs="Tw Cen MT"/>
          <w:b w:val="0"/>
          <w:bCs w:val="0"/>
          <w:sz w:val="18"/>
          <w:szCs w:val="18"/>
        </w:rPr>
        <w:t xml:space="preserve">the calibration method using </w:t>
      </w:r>
      <w:r w:rsidRPr="00132EBC">
        <w:rPr>
          <w:rFonts w:ascii="Tw Cen MT" w:eastAsia="Tw Cen MT" w:hAnsi="Tw Cen MT" w:cs="Tw Cen MT"/>
          <w:b w:val="0"/>
          <w:bCs w:val="0"/>
          <w:sz w:val="18"/>
          <w:szCs w:val="18"/>
        </w:rPr>
        <w:t xml:space="preserve">breakpoint specific RNA input copy number (CN) for </w:t>
      </w:r>
      <w:r w:rsidR="00861420">
        <w:rPr>
          <w:rFonts w:ascii="Tw Cen MT" w:eastAsia="Tw Cen MT" w:hAnsi="Tw Cen MT" w:cs="Tw Cen MT"/>
          <w:b w:val="0"/>
          <w:bCs w:val="0"/>
          <w:sz w:val="18"/>
          <w:szCs w:val="18"/>
        </w:rPr>
        <w:t xml:space="preserve">accurate </w:t>
      </w:r>
      <w:r w:rsidRPr="00132EBC">
        <w:rPr>
          <w:rFonts w:ascii="Tw Cen MT" w:eastAsia="Tw Cen MT" w:hAnsi="Tw Cen MT" w:cs="Tw Cen MT"/>
          <w:b w:val="0"/>
          <w:bCs w:val="0"/>
          <w:sz w:val="18"/>
          <w:szCs w:val="18"/>
        </w:rPr>
        <w:t xml:space="preserve">TKI treatment monitoring. </w:t>
      </w:r>
      <w:r w:rsidRPr="004249F0">
        <w:rPr>
          <w:rFonts w:ascii="Tw Cen MT" w:hAnsi="Tw Cen MT"/>
          <w:sz w:val="18"/>
          <w:szCs w:val="18"/>
        </w:rPr>
        <w:t xml:space="preserve">Objectives: </w:t>
      </w:r>
      <w:r w:rsidRPr="00132EBC">
        <w:rPr>
          <w:rFonts w:ascii="Tw Cen MT" w:eastAsia="Tw Cen MT" w:hAnsi="Tw Cen MT" w:cs="Tw Cen MT"/>
          <w:b w:val="0"/>
          <w:bCs w:val="0"/>
          <w:sz w:val="18"/>
          <w:szCs w:val="18"/>
        </w:rPr>
        <w:t xml:space="preserve">To establish a %CN e13a2/ABL and e14a2/ABL reporting method with known CN of IVT-RNAs and compare </w:t>
      </w:r>
      <w:r w:rsidR="000C30B1" w:rsidRPr="00132EBC">
        <w:rPr>
          <w:rFonts w:ascii="Tw Cen MT" w:eastAsia="Tw Cen MT" w:hAnsi="Tw Cen MT" w:cs="Tw Cen MT"/>
          <w:b w:val="0"/>
          <w:bCs w:val="0"/>
          <w:sz w:val="18"/>
          <w:szCs w:val="18"/>
        </w:rPr>
        <w:t xml:space="preserve">to </w:t>
      </w:r>
      <w:r w:rsidRPr="00132EBC">
        <w:rPr>
          <w:rFonts w:ascii="Tw Cen MT" w:eastAsia="Tw Cen MT" w:hAnsi="Tw Cen MT" w:cs="Tw Cen MT"/>
          <w:b w:val="0"/>
          <w:bCs w:val="0"/>
          <w:sz w:val="18"/>
          <w:szCs w:val="18"/>
        </w:rPr>
        <w:t xml:space="preserve">WHO </w:t>
      </w:r>
      <w:r w:rsidRPr="00132EBC">
        <w:rPr>
          <w:rFonts w:ascii="Tw Cen MT" w:eastAsia="Tw Cen MT" w:hAnsi="Tw Cen MT" w:cs="Tw Cen MT"/>
          <w:b w:val="0"/>
          <w:bCs w:val="0"/>
          <w:i/>
          <w:iCs/>
          <w:sz w:val="18"/>
          <w:szCs w:val="18"/>
        </w:rPr>
        <w:t>IS</w:t>
      </w:r>
      <w:r w:rsidR="00282CFD" w:rsidRPr="00132EBC">
        <w:rPr>
          <w:rFonts w:ascii="Tw Cen MT" w:eastAsia="Tw Cen MT" w:hAnsi="Tw Cen MT" w:cs="Tw Cen MT"/>
          <w:b w:val="0"/>
          <w:bCs w:val="0"/>
          <w:sz w:val="18"/>
          <w:szCs w:val="18"/>
        </w:rPr>
        <w:t xml:space="preserve"> for e13a2</w:t>
      </w:r>
      <w:r w:rsidR="000C30B1" w:rsidRPr="00132EBC">
        <w:rPr>
          <w:rFonts w:ascii="Tw Cen MT" w:eastAsia="Tw Cen MT" w:hAnsi="Tw Cen MT" w:cs="Tw Cen MT"/>
          <w:b w:val="0"/>
          <w:bCs w:val="0"/>
          <w:sz w:val="18"/>
          <w:szCs w:val="18"/>
        </w:rPr>
        <w:t>/</w:t>
      </w:r>
      <w:r w:rsidR="00282CFD" w:rsidRPr="00132EBC">
        <w:rPr>
          <w:rFonts w:ascii="Tw Cen MT" w:eastAsia="Tw Cen MT" w:hAnsi="Tw Cen MT" w:cs="Tw Cen MT"/>
          <w:b w:val="0"/>
          <w:bCs w:val="0"/>
          <w:sz w:val="18"/>
          <w:szCs w:val="18"/>
        </w:rPr>
        <w:t>e14a2 breakpoint specific % reporting</w:t>
      </w:r>
      <w:r w:rsidRPr="00132EBC">
        <w:rPr>
          <w:rFonts w:ascii="Tw Cen MT" w:eastAsia="Tw Cen MT" w:hAnsi="Tw Cen MT" w:cs="Tw Cen MT"/>
          <w:b w:val="0"/>
          <w:bCs w:val="0"/>
          <w:sz w:val="18"/>
          <w:szCs w:val="18"/>
        </w:rPr>
        <w:t>.</w:t>
      </w:r>
      <w:r w:rsidRPr="004249F0">
        <w:rPr>
          <w:rFonts w:ascii="Tw Cen MT" w:hAnsi="Tw Cen MT"/>
          <w:sz w:val="18"/>
          <w:szCs w:val="18"/>
        </w:rPr>
        <w:t xml:space="preserve"> Methods: </w:t>
      </w:r>
      <w:r w:rsidRPr="00132EBC">
        <w:rPr>
          <w:rFonts w:ascii="Tw Cen MT" w:eastAsia="Tw Cen MT" w:hAnsi="Tw Cen MT" w:cs="Tw Cen MT"/>
          <w:b w:val="0"/>
          <w:bCs w:val="0"/>
          <w:sz w:val="18"/>
          <w:szCs w:val="18"/>
        </w:rPr>
        <w:t xml:space="preserve">Three IVT-RNAs (e13a2-ABL-BCR, e14a2-ABL-BCR and ABL-BCR) were used to generate standard curves for </w:t>
      </w:r>
      <w:r w:rsidR="000E5B34" w:rsidRPr="00132EBC">
        <w:rPr>
          <w:rFonts w:ascii="Tw Cen MT" w:eastAsia="Tw Cen MT" w:hAnsi="Tw Cen MT" w:cs="Tw Cen MT"/>
          <w:b w:val="0"/>
          <w:bCs w:val="0"/>
          <w:sz w:val="18"/>
          <w:szCs w:val="18"/>
        </w:rPr>
        <w:t>%</w:t>
      </w:r>
      <w:r w:rsidRPr="00132EBC">
        <w:rPr>
          <w:rFonts w:ascii="Tw Cen MT" w:eastAsia="Tw Cen MT" w:hAnsi="Tw Cen MT" w:cs="Tw Cen MT"/>
          <w:b w:val="0"/>
          <w:bCs w:val="0"/>
          <w:sz w:val="18"/>
          <w:szCs w:val="18"/>
        </w:rPr>
        <w:t>CN reporting</w:t>
      </w:r>
      <w:r w:rsidR="000C30B1" w:rsidRPr="00132EBC">
        <w:rPr>
          <w:rFonts w:ascii="Tw Cen MT" w:eastAsia="Tw Cen MT" w:hAnsi="Tw Cen MT" w:cs="Tw Cen MT"/>
          <w:b w:val="0"/>
          <w:bCs w:val="0"/>
          <w:sz w:val="18"/>
          <w:szCs w:val="18"/>
        </w:rPr>
        <w:t xml:space="preserve"> (Figure1)</w:t>
      </w:r>
      <w:r w:rsidRPr="00132EBC">
        <w:rPr>
          <w:rFonts w:ascii="Tw Cen MT" w:eastAsia="Tw Cen MT" w:hAnsi="Tw Cen MT" w:cs="Tw Cen MT"/>
          <w:b w:val="0"/>
          <w:bCs w:val="0"/>
          <w:sz w:val="18"/>
          <w:szCs w:val="18"/>
        </w:rPr>
        <w:t>.</w:t>
      </w:r>
      <w:r w:rsidRPr="004249F0">
        <w:rPr>
          <w:noProof/>
          <w:sz w:val="18"/>
          <w:szCs w:val="18"/>
        </w:rPr>
        <w:t xml:space="preserve"> </w:t>
      </w:r>
      <w:r w:rsidR="00BC1DB1" w:rsidRPr="004249F0">
        <w:rPr>
          <w:rFonts w:ascii="Tw Cen MT" w:eastAsia="Tw Cen MT" w:hAnsi="Tw Cen MT" w:cs="Tw Cen MT"/>
          <w:b w:val="0"/>
          <w:bCs w:val="0"/>
          <w:sz w:val="18"/>
          <w:szCs w:val="18"/>
        </w:rPr>
        <w:t>Four</w:t>
      </w:r>
      <w:r w:rsidR="00BC1DB1" w:rsidRPr="00132EBC">
        <w:rPr>
          <w:rFonts w:ascii="Tw Cen MT" w:eastAsia="Tw Cen MT" w:hAnsi="Tw Cen MT" w:cs="Tw Cen MT"/>
          <w:b w:val="0"/>
          <w:bCs w:val="0"/>
          <w:sz w:val="18"/>
          <w:szCs w:val="18"/>
        </w:rPr>
        <w:t xml:space="preserve"> levels of IVT-RNA panels with same CN </w:t>
      </w:r>
      <w:r w:rsidR="000E5B34" w:rsidRPr="00132EBC">
        <w:rPr>
          <w:rFonts w:ascii="Tw Cen MT" w:eastAsia="Tw Cen MT" w:hAnsi="Tw Cen MT" w:cs="Tw Cen MT"/>
          <w:b w:val="0"/>
          <w:bCs w:val="0"/>
          <w:sz w:val="18"/>
          <w:szCs w:val="18"/>
        </w:rPr>
        <w:t>of</w:t>
      </w:r>
      <w:r w:rsidR="00BC1DB1" w:rsidRPr="00132EBC">
        <w:rPr>
          <w:rFonts w:ascii="Tw Cen MT" w:eastAsia="Tw Cen MT" w:hAnsi="Tw Cen MT" w:cs="Tw Cen MT"/>
          <w:b w:val="0"/>
          <w:bCs w:val="0"/>
          <w:sz w:val="18"/>
          <w:szCs w:val="18"/>
        </w:rPr>
        <w:t xml:space="preserve"> e13a2 and e14a2 were tested for breakpoint specific % reporting </w:t>
      </w:r>
      <w:r w:rsidR="000E5B34" w:rsidRPr="00132EBC">
        <w:rPr>
          <w:rFonts w:ascii="Tw Cen MT" w:eastAsia="Tw Cen MT" w:hAnsi="Tw Cen MT" w:cs="Tw Cen MT"/>
          <w:b w:val="0"/>
          <w:bCs w:val="0"/>
          <w:sz w:val="18"/>
          <w:szCs w:val="18"/>
        </w:rPr>
        <w:t>comparison</w:t>
      </w:r>
      <w:r w:rsidR="00BC1DB1" w:rsidRPr="00132EBC">
        <w:rPr>
          <w:rFonts w:ascii="Tw Cen MT" w:eastAsia="Tw Cen MT" w:hAnsi="Tw Cen MT" w:cs="Tw Cen MT"/>
          <w:b w:val="0"/>
          <w:bCs w:val="0"/>
          <w:sz w:val="18"/>
          <w:szCs w:val="18"/>
        </w:rPr>
        <w:t xml:space="preserve">. </w:t>
      </w:r>
      <w:r w:rsidRPr="00132EBC">
        <w:rPr>
          <w:rFonts w:ascii="Tw Cen MT" w:eastAsia="Tw Cen MT" w:hAnsi="Tw Cen MT" w:cs="Tw Cen MT"/>
          <w:b w:val="0"/>
          <w:bCs w:val="0"/>
          <w:sz w:val="18"/>
          <w:szCs w:val="18"/>
        </w:rPr>
        <w:t xml:space="preserve">K562(e14a2), BV173 (e13a2) cell lysates and CML clinical samples carrying e13a2 or e14a2 transcripts were tested to evaluate the %CN </w:t>
      </w:r>
      <w:r w:rsidR="00252CD2" w:rsidRPr="00132EBC">
        <w:rPr>
          <w:rFonts w:ascii="Tw Cen MT" w:eastAsia="Tw Cen MT" w:hAnsi="Tw Cen MT" w:cs="Tw Cen MT"/>
          <w:b w:val="0"/>
          <w:bCs w:val="0"/>
          <w:sz w:val="18"/>
          <w:szCs w:val="18"/>
        </w:rPr>
        <w:t xml:space="preserve">reporting </w:t>
      </w:r>
      <w:r w:rsidRPr="00132EBC">
        <w:rPr>
          <w:rFonts w:ascii="Tw Cen MT" w:eastAsia="Tw Cen MT" w:hAnsi="Tw Cen MT" w:cs="Tw Cen MT"/>
          <w:b w:val="0"/>
          <w:bCs w:val="0"/>
          <w:sz w:val="18"/>
          <w:szCs w:val="18"/>
        </w:rPr>
        <w:t xml:space="preserve">compared to WHO </w:t>
      </w:r>
      <w:r w:rsidRPr="00132EBC">
        <w:rPr>
          <w:rFonts w:ascii="Tw Cen MT" w:eastAsia="Tw Cen MT" w:hAnsi="Tw Cen MT" w:cs="Tw Cen MT"/>
          <w:b w:val="0"/>
          <w:bCs w:val="0"/>
          <w:i/>
          <w:iCs/>
          <w:sz w:val="18"/>
          <w:szCs w:val="18"/>
        </w:rPr>
        <w:t>IS</w:t>
      </w:r>
      <w:r w:rsidRPr="00132EBC">
        <w:rPr>
          <w:rFonts w:ascii="Tw Cen MT" w:eastAsia="Tw Cen MT" w:hAnsi="Tw Cen MT" w:cs="Tw Cen MT"/>
          <w:b w:val="0"/>
          <w:bCs w:val="0"/>
          <w:sz w:val="18"/>
          <w:szCs w:val="18"/>
        </w:rPr>
        <w:t>.</w:t>
      </w:r>
      <w:r w:rsidRPr="004249F0">
        <w:rPr>
          <w:rFonts w:ascii="Tw Cen MT" w:hAnsi="Tw Cen MT"/>
          <w:sz w:val="18"/>
          <w:szCs w:val="18"/>
        </w:rPr>
        <w:t xml:space="preserve"> Result:</w:t>
      </w:r>
      <w:r w:rsidRPr="004249F0">
        <w:rPr>
          <w:sz w:val="18"/>
          <w:szCs w:val="18"/>
        </w:rPr>
        <w:t xml:space="preserve"> </w:t>
      </w:r>
      <w:r w:rsidRPr="00132EBC">
        <w:rPr>
          <w:rFonts w:ascii="Tw Cen MT" w:eastAsia="Tw Cen MT" w:hAnsi="Tw Cen MT" w:cs="Tw Cen MT"/>
          <w:b w:val="0"/>
          <w:bCs w:val="0"/>
          <w:sz w:val="18"/>
          <w:szCs w:val="18"/>
        </w:rPr>
        <w:t>Good linearity demonstrated in Ct vs CN input for e13a2, e14a2 and ABL IVT-RNA (Figure2)</w:t>
      </w:r>
      <w:r w:rsidR="00BC1DB1" w:rsidRPr="00132EBC">
        <w:rPr>
          <w:rFonts w:ascii="Tw Cen MT" w:eastAsia="Tw Cen MT" w:hAnsi="Tw Cen MT" w:cs="Tw Cen MT"/>
          <w:b w:val="0"/>
          <w:bCs w:val="0"/>
          <w:sz w:val="18"/>
          <w:szCs w:val="18"/>
        </w:rPr>
        <w:t xml:space="preserve"> with comparable</w:t>
      </w:r>
      <w:r w:rsidR="000E5B34" w:rsidRPr="00132EBC">
        <w:rPr>
          <w:rFonts w:ascii="Tw Cen MT" w:eastAsia="Tw Cen MT" w:hAnsi="Tw Cen MT" w:cs="Tw Cen MT"/>
          <w:b w:val="0"/>
          <w:bCs w:val="0"/>
          <w:sz w:val="18"/>
          <w:szCs w:val="18"/>
        </w:rPr>
        <w:t xml:space="preserve"> </w:t>
      </w:r>
      <w:r w:rsidR="00252CD2" w:rsidRPr="00132EBC">
        <w:rPr>
          <w:rFonts w:ascii="Tw Cen MT" w:eastAsia="Tw Cen MT" w:hAnsi="Tw Cen MT" w:cs="Tw Cen MT"/>
          <w:b w:val="0"/>
          <w:bCs w:val="0"/>
          <w:sz w:val="18"/>
          <w:szCs w:val="18"/>
        </w:rPr>
        <w:t>efficiency (E) between e13a2 (E=0.992) and e14a2 (E=0.986).</w:t>
      </w:r>
      <w:r w:rsidR="00252CD2" w:rsidRPr="004249F0">
        <w:rPr>
          <w:sz w:val="18"/>
          <w:szCs w:val="18"/>
        </w:rPr>
        <w:t xml:space="preserve">  </w:t>
      </w:r>
      <w:r w:rsidR="000E5B34" w:rsidRPr="00132EBC">
        <w:rPr>
          <w:rFonts w:ascii="Tw Cen MT" w:eastAsia="Tw Cen MT" w:hAnsi="Tw Cen MT" w:cs="Tw Cen MT"/>
          <w:b w:val="0"/>
          <w:bCs w:val="0"/>
          <w:sz w:val="18"/>
          <w:szCs w:val="18"/>
        </w:rPr>
        <w:t xml:space="preserve">%e13a2 reporting was ~1.50-fold (by WHO </w:t>
      </w:r>
      <w:r w:rsidR="000E5B34" w:rsidRPr="004249F0">
        <w:rPr>
          <w:rFonts w:ascii="Tw Cen MT" w:eastAsia="Tw Cen MT" w:hAnsi="Tw Cen MT" w:cs="Tw Cen MT"/>
          <w:b w:val="0"/>
          <w:bCs w:val="0"/>
          <w:i/>
          <w:iCs/>
          <w:sz w:val="18"/>
          <w:szCs w:val="18"/>
        </w:rPr>
        <w:t>IS</w:t>
      </w:r>
      <w:r w:rsidR="000E5B34" w:rsidRPr="00132EBC">
        <w:rPr>
          <w:rFonts w:ascii="Tw Cen MT" w:eastAsia="Tw Cen MT" w:hAnsi="Tw Cen MT" w:cs="Tw Cen MT"/>
          <w:b w:val="0"/>
          <w:bCs w:val="0"/>
          <w:sz w:val="18"/>
          <w:szCs w:val="18"/>
        </w:rPr>
        <w:t xml:space="preserve">) and ~1.46-fold (by %CN) </w:t>
      </w:r>
      <w:r w:rsidR="000A31ED" w:rsidRPr="00132EBC">
        <w:rPr>
          <w:rFonts w:ascii="Tw Cen MT" w:eastAsia="Tw Cen MT" w:hAnsi="Tw Cen MT" w:cs="Tw Cen MT"/>
          <w:b w:val="0"/>
          <w:bCs w:val="0"/>
          <w:sz w:val="18"/>
          <w:szCs w:val="18"/>
        </w:rPr>
        <w:t>higher than %e14a2</w:t>
      </w:r>
      <w:r w:rsidR="00E97BBB">
        <w:rPr>
          <w:rFonts w:ascii="Tw Cen MT" w:eastAsia="Tw Cen MT" w:hAnsi="Tw Cen MT" w:cs="Tw Cen MT"/>
          <w:b w:val="0"/>
          <w:bCs w:val="0"/>
          <w:sz w:val="18"/>
          <w:szCs w:val="18"/>
        </w:rPr>
        <w:t>,</w:t>
      </w:r>
      <w:r w:rsidR="000A31ED" w:rsidRPr="00132EBC">
        <w:rPr>
          <w:rFonts w:ascii="Tw Cen MT" w:eastAsia="Tw Cen MT" w:hAnsi="Tw Cen MT" w:cs="Tw Cen MT"/>
          <w:b w:val="0"/>
          <w:bCs w:val="0"/>
          <w:sz w:val="18"/>
          <w:szCs w:val="18"/>
        </w:rPr>
        <w:t xml:space="preserve"> </w:t>
      </w:r>
      <w:r w:rsidR="000C30B1" w:rsidRPr="00132EBC">
        <w:rPr>
          <w:rFonts w:ascii="Tw Cen MT" w:eastAsia="Tw Cen MT" w:hAnsi="Tw Cen MT" w:cs="Tw Cen MT"/>
          <w:b w:val="0"/>
          <w:bCs w:val="0"/>
          <w:sz w:val="18"/>
          <w:szCs w:val="18"/>
        </w:rPr>
        <w:t>by testing</w:t>
      </w:r>
      <w:r w:rsidR="000A31ED" w:rsidRPr="00132EBC">
        <w:rPr>
          <w:rFonts w:ascii="Tw Cen MT" w:eastAsia="Tw Cen MT" w:hAnsi="Tw Cen MT" w:cs="Tw Cen MT"/>
          <w:b w:val="0"/>
          <w:bCs w:val="0"/>
          <w:sz w:val="18"/>
          <w:szCs w:val="18"/>
        </w:rPr>
        <w:t xml:space="preserve"> </w:t>
      </w:r>
      <w:r w:rsidR="000E5B34" w:rsidRPr="00132EBC">
        <w:rPr>
          <w:rFonts w:ascii="Tw Cen MT" w:eastAsia="Tw Cen MT" w:hAnsi="Tw Cen MT" w:cs="Tw Cen MT"/>
          <w:b w:val="0"/>
          <w:bCs w:val="0"/>
          <w:sz w:val="18"/>
          <w:szCs w:val="18"/>
        </w:rPr>
        <w:t xml:space="preserve">IVT-RNA </w:t>
      </w:r>
      <w:r w:rsidR="000A31ED" w:rsidRPr="00132EBC">
        <w:rPr>
          <w:rFonts w:ascii="Tw Cen MT" w:eastAsia="Tw Cen MT" w:hAnsi="Tw Cen MT" w:cs="Tw Cen MT"/>
          <w:b w:val="0"/>
          <w:bCs w:val="0"/>
          <w:sz w:val="18"/>
          <w:szCs w:val="18"/>
        </w:rPr>
        <w:t>panel</w:t>
      </w:r>
      <w:r w:rsidR="000E5B34" w:rsidRPr="00132EBC">
        <w:rPr>
          <w:rFonts w:ascii="Tw Cen MT" w:eastAsia="Tw Cen MT" w:hAnsi="Tw Cen MT" w:cs="Tw Cen MT"/>
          <w:b w:val="0"/>
          <w:bCs w:val="0"/>
          <w:sz w:val="18"/>
          <w:szCs w:val="18"/>
        </w:rPr>
        <w:t xml:space="preserve"> (Table1). </w:t>
      </w:r>
      <w:r w:rsidRPr="00132EBC">
        <w:rPr>
          <w:rFonts w:ascii="Tw Cen MT" w:eastAsia="Tw Cen MT" w:hAnsi="Tw Cen MT" w:cs="Tw Cen MT"/>
          <w:b w:val="0"/>
          <w:bCs w:val="0"/>
          <w:sz w:val="18"/>
          <w:szCs w:val="18"/>
        </w:rPr>
        <w:t xml:space="preserve">Minor differences in %reporting observed between % CN and WHO </w:t>
      </w:r>
      <w:r w:rsidRPr="00132EBC">
        <w:rPr>
          <w:rFonts w:ascii="Tw Cen MT" w:eastAsia="Tw Cen MT" w:hAnsi="Tw Cen MT" w:cs="Tw Cen MT"/>
          <w:b w:val="0"/>
          <w:bCs w:val="0"/>
          <w:i/>
          <w:iCs/>
          <w:sz w:val="18"/>
          <w:szCs w:val="18"/>
        </w:rPr>
        <w:t>IS</w:t>
      </w:r>
      <w:r w:rsidRPr="00132EBC">
        <w:rPr>
          <w:rFonts w:ascii="Tw Cen MT" w:eastAsia="Tw Cen MT" w:hAnsi="Tw Cen MT" w:cs="Tw Cen MT"/>
          <w:b w:val="0"/>
          <w:bCs w:val="0"/>
          <w:sz w:val="18"/>
          <w:szCs w:val="18"/>
        </w:rPr>
        <w:t xml:space="preserve"> for e13a2 (84.5%~110.8%)</w:t>
      </w:r>
      <w:r w:rsidRPr="004249F0">
        <w:rPr>
          <w:b w:val="0"/>
          <w:bCs w:val="0"/>
          <w:sz w:val="18"/>
          <w:szCs w:val="18"/>
        </w:rPr>
        <w:t xml:space="preserve"> </w:t>
      </w:r>
      <w:r w:rsidR="000E5B34" w:rsidRPr="004249F0">
        <w:rPr>
          <w:b w:val="0"/>
          <w:bCs w:val="0"/>
          <w:sz w:val="18"/>
          <w:szCs w:val="18"/>
        </w:rPr>
        <w:t xml:space="preserve">vs </w:t>
      </w:r>
      <w:r w:rsidRPr="004249F0">
        <w:rPr>
          <w:b w:val="0"/>
          <w:bCs w:val="0"/>
          <w:sz w:val="18"/>
          <w:szCs w:val="18"/>
        </w:rPr>
        <w:t>e</w:t>
      </w:r>
      <w:r w:rsidRPr="00132EBC">
        <w:rPr>
          <w:rFonts w:ascii="Tw Cen MT" w:eastAsia="Tw Cen MT" w:hAnsi="Tw Cen MT" w:cs="Tw Cen MT"/>
          <w:b w:val="0"/>
          <w:bCs w:val="0"/>
          <w:sz w:val="18"/>
          <w:szCs w:val="18"/>
        </w:rPr>
        <w:t xml:space="preserve">14a2 (82.5%~89.5%) </w:t>
      </w:r>
      <w:r w:rsidR="00252CD2" w:rsidRPr="00132EBC">
        <w:rPr>
          <w:rFonts w:ascii="Tw Cen MT" w:eastAsia="Tw Cen MT" w:hAnsi="Tw Cen MT" w:cs="Tw Cen MT"/>
          <w:b w:val="0"/>
          <w:bCs w:val="0"/>
          <w:sz w:val="18"/>
          <w:szCs w:val="18"/>
        </w:rPr>
        <w:t xml:space="preserve">from </w:t>
      </w:r>
      <w:r w:rsidRPr="00132EBC">
        <w:rPr>
          <w:rFonts w:ascii="Tw Cen MT" w:eastAsia="Tw Cen MT" w:hAnsi="Tw Cen MT" w:cs="Tw Cen MT"/>
          <w:b w:val="0"/>
          <w:bCs w:val="0"/>
          <w:sz w:val="18"/>
          <w:szCs w:val="18"/>
        </w:rPr>
        <w:t>cell lysate</w:t>
      </w:r>
      <w:r w:rsidR="00252CD2" w:rsidRPr="00132EBC">
        <w:rPr>
          <w:rFonts w:ascii="Tw Cen MT" w:eastAsia="Tw Cen MT" w:hAnsi="Tw Cen MT" w:cs="Tw Cen MT"/>
          <w:b w:val="0"/>
          <w:bCs w:val="0"/>
          <w:sz w:val="18"/>
          <w:szCs w:val="18"/>
        </w:rPr>
        <w:t>s</w:t>
      </w:r>
      <w:r w:rsidRPr="00132EBC">
        <w:rPr>
          <w:rFonts w:ascii="Tw Cen MT" w:eastAsia="Tw Cen MT" w:hAnsi="Tw Cen MT" w:cs="Tw Cen MT"/>
          <w:b w:val="0"/>
          <w:bCs w:val="0"/>
          <w:sz w:val="18"/>
          <w:szCs w:val="18"/>
        </w:rPr>
        <w:t xml:space="preserve"> (Table</w:t>
      </w:r>
      <w:r w:rsidR="000C30B1" w:rsidRPr="00132EBC">
        <w:rPr>
          <w:rFonts w:ascii="Tw Cen MT" w:eastAsia="Tw Cen MT" w:hAnsi="Tw Cen MT" w:cs="Tw Cen MT"/>
          <w:b w:val="0"/>
          <w:bCs w:val="0"/>
          <w:sz w:val="18"/>
          <w:szCs w:val="18"/>
        </w:rPr>
        <w:t>2</w:t>
      </w:r>
      <w:r w:rsidRPr="00132EBC">
        <w:rPr>
          <w:rFonts w:ascii="Tw Cen MT" w:eastAsia="Tw Cen MT" w:hAnsi="Tw Cen MT" w:cs="Tw Cen MT"/>
          <w:b w:val="0"/>
          <w:bCs w:val="0"/>
          <w:sz w:val="18"/>
          <w:szCs w:val="18"/>
        </w:rPr>
        <w:t xml:space="preserve">) and </w:t>
      </w:r>
      <w:r w:rsidR="000E5B34" w:rsidRPr="00132EBC">
        <w:rPr>
          <w:rFonts w:ascii="Tw Cen MT" w:eastAsia="Tw Cen MT" w:hAnsi="Tw Cen MT" w:cs="Tw Cen MT"/>
          <w:b w:val="0"/>
          <w:bCs w:val="0"/>
          <w:sz w:val="18"/>
          <w:szCs w:val="18"/>
        </w:rPr>
        <w:t xml:space="preserve">e13a2 </w:t>
      </w:r>
      <w:r w:rsidRPr="00132EBC">
        <w:rPr>
          <w:rFonts w:ascii="Tw Cen MT" w:eastAsia="Tw Cen MT" w:hAnsi="Tw Cen MT" w:cs="Tw Cen MT"/>
          <w:b w:val="0"/>
          <w:bCs w:val="0"/>
          <w:sz w:val="18"/>
          <w:szCs w:val="18"/>
        </w:rPr>
        <w:t>(92.6%~105.5%)</w:t>
      </w:r>
      <w:r w:rsidR="000E5B34" w:rsidRPr="00132EBC">
        <w:rPr>
          <w:rFonts w:ascii="Tw Cen MT" w:eastAsia="Tw Cen MT" w:hAnsi="Tw Cen MT" w:cs="Tw Cen MT"/>
          <w:b w:val="0"/>
          <w:bCs w:val="0"/>
          <w:sz w:val="18"/>
          <w:szCs w:val="18"/>
        </w:rPr>
        <w:t xml:space="preserve"> vs e14a2 </w:t>
      </w:r>
      <w:r w:rsidR="00136B59">
        <w:rPr>
          <w:rFonts w:ascii="Tw Cen MT" w:eastAsia="Tw Cen MT" w:hAnsi="Tw Cen MT" w:cs="Tw Cen MT"/>
          <w:b w:val="0"/>
          <w:bCs w:val="0"/>
          <w:sz w:val="18"/>
          <w:szCs w:val="18"/>
        </w:rPr>
        <w:t>(</w:t>
      </w:r>
      <w:r w:rsidRPr="00132EBC">
        <w:rPr>
          <w:rFonts w:ascii="Tw Cen MT" w:eastAsia="Tw Cen MT" w:hAnsi="Tw Cen MT" w:cs="Tw Cen MT"/>
          <w:b w:val="0"/>
          <w:bCs w:val="0"/>
          <w:sz w:val="18"/>
          <w:szCs w:val="18"/>
        </w:rPr>
        <w:t>88.1%</w:t>
      </w:r>
      <w:r w:rsidR="00136B59" w:rsidRPr="00132EBC">
        <w:rPr>
          <w:rFonts w:ascii="Tw Cen MT" w:eastAsia="Tw Cen MT" w:hAnsi="Tw Cen MT" w:cs="Tw Cen MT"/>
          <w:b w:val="0"/>
          <w:bCs w:val="0"/>
          <w:sz w:val="18"/>
          <w:szCs w:val="18"/>
        </w:rPr>
        <w:t>~</w:t>
      </w:r>
      <w:r w:rsidR="00136B59">
        <w:rPr>
          <w:rFonts w:ascii="Tw Cen MT" w:eastAsia="Tw Cen MT" w:hAnsi="Tw Cen MT" w:cs="Tw Cen MT"/>
          <w:b w:val="0"/>
          <w:bCs w:val="0"/>
          <w:sz w:val="18"/>
          <w:szCs w:val="18"/>
        </w:rPr>
        <w:t>92.2</w:t>
      </w:r>
      <w:r w:rsidR="00136B59" w:rsidRPr="00132EBC">
        <w:rPr>
          <w:rFonts w:ascii="Tw Cen MT" w:eastAsia="Tw Cen MT" w:hAnsi="Tw Cen MT" w:cs="Tw Cen MT"/>
          <w:b w:val="0"/>
          <w:bCs w:val="0"/>
          <w:sz w:val="18"/>
          <w:szCs w:val="18"/>
        </w:rPr>
        <w:t>%)</w:t>
      </w:r>
      <w:r w:rsidR="00136B59">
        <w:rPr>
          <w:rFonts w:ascii="Tw Cen MT" w:eastAsia="Tw Cen MT" w:hAnsi="Tw Cen MT" w:cs="Tw Cen MT"/>
          <w:b w:val="0"/>
          <w:bCs w:val="0"/>
          <w:sz w:val="18"/>
          <w:szCs w:val="18"/>
        </w:rPr>
        <w:t xml:space="preserve"> </w:t>
      </w:r>
      <w:r w:rsidR="000E5B34" w:rsidRPr="00132EBC">
        <w:rPr>
          <w:rFonts w:ascii="Tw Cen MT" w:eastAsia="Tw Cen MT" w:hAnsi="Tw Cen MT" w:cs="Tw Cen MT"/>
          <w:b w:val="0"/>
          <w:bCs w:val="0"/>
          <w:sz w:val="18"/>
          <w:szCs w:val="18"/>
        </w:rPr>
        <w:t xml:space="preserve">from clinical samples </w:t>
      </w:r>
      <w:r w:rsidRPr="00132EBC">
        <w:rPr>
          <w:rFonts w:ascii="Tw Cen MT" w:eastAsia="Tw Cen MT" w:hAnsi="Tw Cen MT" w:cs="Tw Cen MT"/>
          <w:b w:val="0"/>
          <w:bCs w:val="0"/>
          <w:sz w:val="18"/>
          <w:szCs w:val="18"/>
        </w:rPr>
        <w:t>(Table</w:t>
      </w:r>
      <w:r w:rsidR="000C30B1" w:rsidRPr="00132EBC">
        <w:rPr>
          <w:rFonts w:ascii="Tw Cen MT" w:eastAsia="Tw Cen MT" w:hAnsi="Tw Cen MT" w:cs="Tw Cen MT"/>
          <w:b w:val="0"/>
          <w:bCs w:val="0"/>
          <w:sz w:val="18"/>
          <w:szCs w:val="18"/>
        </w:rPr>
        <w:t>3</w:t>
      </w:r>
      <w:r w:rsidRPr="00132EBC">
        <w:rPr>
          <w:rFonts w:ascii="Tw Cen MT" w:eastAsia="Tw Cen MT" w:hAnsi="Tw Cen MT" w:cs="Tw Cen MT"/>
          <w:b w:val="0"/>
          <w:bCs w:val="0"/>
          <w:sz w:val="18"/>
          <w:szCs w:val="18"/>
        </w:rPr>
        <w:t xml:space="preserve">). </w:t>
      </w:r>
      <w:r w:rsidRPr="004249F0">
        <w:rPr>
          <w:rFonts w:ascii="Tw Cen MT" w:hAnsi="Tw Cen MT"/>
          <w:sz w:val="18"/>
          <w:szCs w:val="18"/>
        </w:rPr>
        <w:t xml:space="preserve">Conclusion: </w:t>
      </w:r>
      <w:r w:rsidR="000A31ED" w:rsidRPr="004249F0">
        <w:rPr>
          <w:rFonts w:ascii="Tw Cen MT" w:hAnsi="Tw Cen MT"/>
          <w:b w:val="0"/>
          <w:bCs w:val="0"/>
          <w:sz w:val="18"/>
          <w:szCs w:val="18"/>
        </w:rPr>
        <w:t>Both</w:t>
      </w:r>
      <w:r w:rsidR="000A31ED" w:rsidRPr="004249F0">
        <w:rPr>
          <w:rFonts w:ascii="Tw Cen MT" w:hAnsi="Tw Cen MT"/>
          <w:sz w:val="18"/>
          <w:szCs w:val="18"/>
        </w:rPr>
        <w:t xml:space="preserve"> </w:t>
      </w:r>
      <w:r w:rsidR="000A31ED" w:rsidRPr="004249F0">
        <w:rPr>
          <w:rFonts w:ascii="Tw Cen MT" w:hAnsi="Tw Cen MT"/>
          <w:b w:val="0"/>
          <w:bCs w:val="0"/>
          <w:sz w:val="18"/>
          <w:szCs w:val="18"/>
        </w:rPr>
        <w:t xml:space="preserve">WHO </w:t>
      </w:r>
      <w:r w:rsidR="000A31ED" w:rsidRPr="004249F0">
        <w:rPr>
          <w:rFonts w:ascii="Tw Cen MT" w:hAnsi="Tw Cen MT"/>
          <w:b w:val="0"/>
          <w:bCs w:val="0"/>
          <w:i/>
          <w:iCs/>
          <w:sz w:val="18"/>
          <w:szCs w:val="18"/>
        </w:rPr>
        <w:t>IS</w:t>
      </w:r>
      <w:r w:rsidR="000A31ED" w:rsidRPr="004249F0">
        <w:rPr>
          <w:rFonts w:ascii="Tw Cen MT" w:hAnsi="Tw Cen MT"/>
          <w:sz w:val="18"/>
          <w:szCs w:val="18"/>
        </w:rPr>
        <w:t xml:space="preserve"> </w:t>
      </w:r>
      <w:r w:rsidR="000A31ED" w:rsidRPr="004249F0">
        <w:rPr>
          <w:rFonts w:ascii="Tw Cen MT" w:hAnsi="Tw Cen MT"/>
          <w:b w:val="0"/>
          <w:bCs w:val="0"/>
          <w:sz w:val="18"/>
          <w:szCs w:val="18"/>
        </w:rPr>
        <w:t>and %CN showed very minor difference</w:t>
      </w:r>
      <w:r w:rsidR="00E97BBB">
        <w:rPr>
          <w:rFonts w:ascii="Tw Cen MT" w:hAnsi="Tw Cen MT"/>
          <w:b w:val="0"/>
          <w:bCs w:val="0"/>
          <w:sz w:val="18"/>
          <w:szCs w:val="18"/>
        </w:rPr>
        <w:t>s</w:t>
      </w:r>
      <w:r w:rsidR="000A31ED" w:rsidRPr="004249F0">
        <w:rPr>
          <w:rFonts w:ascii="Tw Cen MT" w:hAnsi="Tw Cen MT"/>
          <w:b w:val="0"/>
          <w:bCs w:val="0"/>
          <w:sz w:val="18"/>
          <w:szCs w:val="18"/>
        </w:rPr>
        <w:t xml:space="preserve"> between e13a2 and e14a2 for % reporting. </w:t>
      </w:r>
      <w:r w:rsidR="000A31ED" w:rsidRPr="00132EBC">
        <w:rPr>
          <w:rFonts w:ascii="Tw Cen MT" w:eastAsia="Tw Cen MT" w:hAnsi="Tw Cen MT" w:cs="Tw Cen MT"/>
          <w:b w:val="0"/>
          <w:bCs w:val="0"/>
          <w:sz w:val="18"/>
          <w:szCs w:val="18"/>
        </w:rPr>
        <w:t xml:space="preserve">%CN method demonstrated comparable %reporting to WHO </w:t>
      </w:r>
      <w:r w:rsidR="000A31ED" w:rsidRPr="004249F0">
        <w:rPr>
          <w:rFonts w:ascii="Tw Cen MT" w:eastAsia="Tw Cen MT" w:hAnsi="Tw Cen MT" w:cs="Tw Cen MT"/>
          <w:b w:val="0"/>
          <w:bCs w:val="0"/>
          <w:i/>
          <w:iCs/>
          <w:sz w:val="18"/>
          <w:szCs w:val="18"/>
        </w:rPr>
        <w:t>IS</w:t>
      </w:r>
      <w:r w:rsidR="000A31ED" w:rsidRPr="00132EBC">
        <w:rPr>
          <w:rFonts w:ascii="Tw Cen MT" w:eastAsia="Tw Cen MT" w:hAnsi="Tw Cen MT" w:cs="Tw Cen MT"/>
          <w:b w:val="0"/>
          <w:bCs w:val="0"/>
          <w:sz w:val="18"/>
          <w:szCs w:val="18"/>
        </w:rPr>
        <w:t xml:space="preserve">. </w:t>
      </w:r>
    </w:p>
    <w:p w14:paraId="5D19EBA6" w14:textId="3C5AC437" w:rsidR="008F0060" w:rsidRDefault="00D303F8" w:rsidP="008F0060">
      <w:pPr>
        <w:pStyle w:val="Heading3"/>
        <w:spacing w:before="147" w:line="360" w:lineRule="auto"/>
        <w:jc w:val="both"/>
        <w:rPr>
          <w:noProof/>
        </w:rPr>
      </w:pPr>
      <w:r w:rsidRPr="00D303F8">
        <w:rPr>
          <w:noProof/>
        </w:rPr>
        <w:drawing>
          <wp:inline distT="0" distB="0" distL="0" distR="0" wp14:anchorId="012658A3" wp14:editId="4EAF13D4">
            <wp:extent cx="3284728" cy="996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10438" cy="1004753"/>
                    </a:xfrm>
                    <a:prstGeom prst="rect">
                      <a:avLst/>
                    </a:prstGeom>
                  </pic:spPr>
                </pic:pic>
              </a:graphicData>
            </a:graphic>
          </wp:inline>
        </w:drawing>
      </w:r>
    </w:p>
    <w:p w14:paraId="7914D36F" w14:textId="1354F5E3" w:rsidR="008F0060" w:rsidRDefault="008F0060" w:rsidP="008F0060">
      <w:pPr>
        <w:pStyle w:val="Heading3"/>
        <w:spacing w:before="147" w:line="360" w:lineRule="auto"/>
        <w:jc w:val="both"/>
        <w:rPr>
          <w:noProof/>
        </w:rPr>
      </w:pPr>
    </w:p>
    <w:p w14:paraId="3D69C933" w14:textId="77777777" w:rsidR="00D303F8" w:rsidRDefault="00D303F8" w:rsidP="008F0060">
      <w:pPr>
        <w:pStyle w:val="Heading3"/>
        <w:spacing w:before="147" w:line="360" w:lineRule="auto"/>
        <w:jc w:val="both"/>
        <w:rPr>
          <w:noProof/>
        </w:rPr>
      </w:pPr>
    </w:p>
    <w:p w14:paraId="35B9CC45" w14:textId="77777777" w:rsidR="008F0060" w:rsidRDefault="008F0060" w:rsidP="008F0060">
      <w:pPr>
        <w:pStyle w:val="Heading3"/>
        <w:spacing w:before="147" w:line="360" w:lineRule="auto"/>
        <w:jc w:val="both"/>
        <w:rPr>
          <w:noProof/>
        </w:rPr>
      </w:pPr>
    </w:p>
    <w:p w14:paraId="4FD57245" w14:textId="77777777" w:rsidR="008F0060" w:rsidRDefault="008F0060" w:rsidP="008F0060">
      <w:pPr>
        <w:pStyle w:val="Heading3"/>
        <w:spacing w:before="147" w:line="360" w:lineRule="auto"/>
        <w:jc w:val="both"/>
        <w:rPr>
          <w:noProof/>
        </w:rPr>
      </w:pPr>
    </w:p>
    <w:p w14:paraId="0D9E23EE" w14:textId="35784C7D" w:rsidR="00132EBC" w:rsidRDefault="009C1D1D" w:rsidP="00D303F8">
      <w:pPr>
        <w:pStyle w:val="Heading3"/>
        <w:jc w:val="center"/>
        <w:rPr>
          <w:sz w:val="12"/>
          <w:szCs w:val="12"/>
        </w:rPr>
      </w:pPr>
      <w:r w:rsidRPr="009C1D1D">
        <w:rPr>
          <w:noProof/>
          <w:sz w:val="18"/>
          <w:szCs w:val="18"/>
        </w:rPr>
        <w:drawing>
          <wp:inline distT="0" distB="0" distL="0" distR="0" wp14:anchorId="77DCA524" wp14:editId="301B64CB">
            <wp:extent cx="3266279" cy="982133"/>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50443" cy="1067578"/>
                    </a:xfrm>
                    <a:prstGeom prst="rect">
                      <a:avLst/>
                    </a:prstGeom>
                  </pic:spPr>
                </pic:pic>
              </a:graphicData>
            </a:graphic>
          </wp:inline>
        </w:drawing>
      </w:r>
      <w:r w:rsidR="008F0060" w:rsidRPr="008F0060">
        <w:rPr>
          <w:b w:val="0"/>
          <w:bCs w:val="0"/>
          <w:noProof/>
        </w:rPr>
        <w:drawing>
          <wp:inline distT="0" distB="0" distL="0" distR="0" wp14:anchorId="0C7C9694" wp14:editId="496B93D1">
            <wp:extent cx="2712382" cy="1007533"/>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5651" cy="1071895"/>
                    </a:xfrm>
                    <a:prstGeom prst="rect">
                      <a:avLst/>
                    </a:prstGeom>
                  </pic:spPr>
                </pic:pic>
              </a:graphicData>
            </a:graphic>
          </wp:inline>
        </w:drawing>
      </w:r>
      <w:r w:rsidR="001F3905" w:rsidRPr="001F3905">
        <w:rPr>
          <w:b w:val="0"/>
          <w:bCs w:val="0"/>
          <w:noProof/>
        </w:rPr>
        <w:drawing>
          <wp:inline distT="0" distB="0" distL="0" distR="0" wp14:anchorId="75953682" wp14:editId="61FE2C9A">
            <wp:extent cx="2704465" cy="11684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57612" cy="1191361"/>
                    </a:xfrm>
                    <a:prstGeom prst="rect">
                      <a:avLst/>
                    </a:prstGeom>
                  </pic:spPr>
                </pic:pic>
              </a:graphicData>
            </a:graphic>
          </wp:inline>
        </w:drawing>
      </w:r>
      <w:bookmarkEnd w:id="0"/>
    </w:p>
    <w:p w14:paraId="28359C36" w14:textId="631B361E" w:rsidR="000E5B34" w:rsidRPr="009050E5" w:rsidRDefault="00136B59" w:rsidP="00D303F8">
      <w:pPr>
        <w:pStyle w:val="Heading3"/>
        <w:jc w:val="center"/>
        <w:rPr>
          <w:rFonts w:eastAsia="SimSun"/>
          <w:sz w:val="16"/>
          <w:szCs w:val="16"/>
          <w:lang w:eastAsia="zh-CN"/>
        </w:rPr>
      </w:pPr>
      <w:r w:rsidRPr="00136B59">
        <w:rPr>
          <w:bCs w:val="0"/>
          <w:noProof/>
          <w:sz w:val="16"/>
          <w:szCs w:val="16"/>
        </w:rPr>
        <w:drawing>
          <wp:inline distT="0" distB="0" distL="0" distR="0" wp14:anchorId="55A81F23" wp14:editId="06FCCAD1">
            <wp:extent cx="2683565" cy="160152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22773" cy="1624926"/>
                    </a:xfrm>
                    <a:prstGeom prst="rect">
                      <a:avLst/>
                    </a:prstGeom>
                  </pic:spPr>
                </pic:pic>
              </a:graphicData>
            </a:graphic>
          </wp:inline>
        </w:drawing>
      </w:r>
    </w:p>
    <w:p w14:paraId="22EE0D18" w14:textId="77777777" w:rsidR="004249F0" w:rsidRDefault="004249F0" w:rsidP="004249F0">
      <w:pPr>
        <w:pStyle w:val="Heading3"/>
        <w:rPr>
          <w:color w:val="BF5A14"/>
        </w:rPr>
      </w:pPr>
    </w:p>
    <w:p w14:paraId="0633F18E" w14:textId="312A8A2D" w:rsidR="006C062B" w:rsidRPr="00847D7A" w:rsidRDefault="00D303F8" w:rsidP="004249F0">
      <w:pPr>
        <w:pStyle w:val="Heading3"/>
        <w:rPr>
          <w:noProof/>
          <w:sz w:val="18"/>
          <w:szCs w:val="18"/>
        </w:rPr>
      </w:pPr>
      <w:r>
        <w:rPr>
          <w:color w:val="BF5A14"/>
          <w:sz w:val="18"/>
          <w:szCs w:val="18"/>
        </w:rPr>
        <w:t xml:space="preserve">     </w:t>
      </w:r>
      <w:r w:rsidR="006C062B" w:rsidRPr="00847D7A">
        <w:rPr>
          <w:color w:val="BF5A14"/>
          <w:sz w:val="18"/>
          <w:szCs w:val="18"/>
        </w:rPr>
        <w:t xml:space="preserve">Recent Publications </w:t>
      </w:r>
    </w:p>
    <w:p w14:paraId="60739BD5" w14:textId="77777777" w:rsidR="00271CF5" w:rsidRPr="00136B59" w:rsidRDefault="00271CF5" w:rsidP="004249F0">
      <w:pPr>
        <w:pStyle w:val="ListParagraph"/>
        <w:numPr>
          <w:ilvl w:val="0"/>
          <w:numId w:val="4"/>
        </w:numPr>
        <w:spacing w:line="240" w:lineRule="auto"/>
        <w:rPr>
          <w:rStyle w:val="normaltextrun"/>
          <w:rFonts w:ascii="Tw Cen MT" w:eastAsia="Times New Roman" w:hAnsi="Tw Cen MT" w:cs="Segoe UI"/>
          <w:sz w:val="16"/>
          <w:szCs w:val="16"/>
        </w:rPr>
      </w:pPr>
      <w:proofErr w:type="spellStart"/>
      <w:r w:rsidRPr="00136B59">
        <w:rPr>
          <w:rStyle w:val="normaltextrun"/>
          <w:rFonts w:ascii="Tw Cen MT" w:eastAsia="Times New Roman" w:hAnsi="Tw Cen MT" w:cs="Segoe UI"/>
          <w:sz w:val="16"/>
          <w:szCs w:val="16"/>
        </w:rPr>
        <w:t>Dominy</w:t>
      </w:r>
      <w:proofErr w:type="spellEnd"/>
      <w:r w:rsidRPr="00136B59">
        <w:rPr>
          <w:rStyle w:val="normaltextrun"/>
          <w:rFonts w:ascii="Tw Cen MT" w:eastAsia="Times New Roman" w:hAnsi="Tw Cen MT" w:cs="Segoe UI"/>
          <w:sz w:val="16"/>
          <w:szCs w:val="16"/>
        </w:rPr>
        <w:t xml:space="preserve"> KM, Simon IM, </w:t>
      </w:r>
      <w:proofErr w:type="spellStart"/>
      <w:r w:rsidRPr="00136B59">
        <w:rPr>
          <w:rStyle w:val="normaltextrun"/>
          <w:rFonts w:ascii="Tw Cen MT" w:eastAsia="Times New Roman" w:hAnsi="Tw Cen MT" w:cs="Segoe UI"/>
          <w:sz w:val="16"/>
          <w:szCs w:val="16"/>
        </w:rPr>
        <w:t>Khorashad</w:t>
      </w:r>
      <w:proofErr w:type="spellEnd"/>
      <w:r w:rsidRPr="00136B59">
        <w:rPr>
          <w:rStyle w:val="normaltextrun"/>
          <w:rFonts w:ascii="Tw Cen MT" w:eastAsia="Times New Roman" w:hAnsi="Tw Cen MT" w:cs="Segoe UI"/>
          <w:sz w:val="16"/>
          <w:szCs w:val="16"/>
        </w:rPr>
        <w:t xml:space="preserve"> JS (2021) Evaluation of Xpert® BCR-ABL Ultra for the confirmation of BCR-ABL1 international scale conversion factors for the molecular monitoring of chronic myeloid </w:t>
      </w:r>
      <w:proofErr w:type="spellStart"/>
      <w:r w:rsidRPr="00136B59">
        <w:rPr>
          <w:rStyle w:val="normaltextrun"/>
          <w:rFonts w:ascii="Tw Cen MT" w:eastAsia="Times New Roman" w:hAnsi="Tw Cen MT" w:cs="Segoe UI"/>
          <w:sz w:val="16"/>
          <w:szCs w:val="16"/>
        </w:rPr>
        <w:t>leukaemia</w:t>
      </w:r>
      <w:proofErr w:type="spellEnd"/>
      <w:r w:rsidRPr="00136B59">
        <w:rPr>
          <w:rStyle w:val="normaltextrun"/>
          <w:rFonts w:ascii="Tw Cen MT" w:eastAsia="Times New Roman" w:hAnsi="Tw Cen MT" w:cs="Segoe UI"/>
          <w:sz w:val="16"/>
          <w:szCs w:val="16"/>
        </w:rPr>
        <w:t xml:space="preserve">, Int J Lab </w:t>
      </w:r>
      <w:proofErr w:type="spellStart"/>
      <w:r w:rsidRPr="00136B59">
        <w:rPr>
          <w:rStyle w:val="normaltextrun"/>
          <w:rFonts w:ascii="Tw Cen MT" w:eastAsia="Times New Roman" w:hAnsi="Tw Cen MT" w:cs="Segoe UI"/>
          <w:sz w:val="16"/>
          <w:szCs w:val="16"/>
        </w:rPr>
        <w:t>Hematol</w:t>
      </w:r>
      <w:proofErr w:type="spellEnd"/>
      <w:r w:rsidRPr="00136B59">
        <w:rPr>
          <w:rStyle w:val="normaltextrun"/>
          <w:rFonts w:ascii="Tw Cen MT" w:eastAsia="Times New Roman" w:hAnsi="Tw Cen MT" w:cs="Segoe UI"/>
          <w:sz w:val="16"/>
          <w:szCs w:val="16"/>
        </w:rPr>
        <w:t>, Feb;43(1</w:t>
      </w:r>
      <w:proofErr w:type="gramStart"/>
      <w:r w:rsidRPr="00136B59">
        <w:rPr>
          <w:rStyle w:val="normaltextrun"/>
          <w:rFonts w:ascii="Tw Cen MT" w:eastAsia="Times New Roman" w:hAnsi="Tw Cen MT" w:cs="Segoe UI"/>
          <w:sz w:val="16"/>
          <w:szCs w:val="16"/>
        </w:rPr>
        <w:t>):e</w:t>
      </w:r>
      <w:proofErr w:type="gramEnd"/>
      <w:r w:rsidRPr="00136B59">
        <w:rPr>
          <w:rStyle w:val="normaltextrun"/>
          <w:rFonts w:ascii="Tw Cen MT" w:eastAsia="Times New Roman" w:hAnsi="Tw Cen MT" w:cs="Segoe UI"/>
          <w:sz w:val="16"/>
          <w:szCs w:val="16"/>
        </w:rPr>
        <w:t xml:space="preserve">31-e34. </w:t>
      </w:r>
    </w:p>
    <w:p w14:paraId="4E2E2A3F" w14:textId="77777777" w:rsidR="00271CF5" w:rsidRPr="00136B59" w:rsidRDefault="00271CF5" w:rsidP="004249F0">
      <w:pPr>
        <w:pStyle w:val="ListParagraph"/>
        <w:numPr>
          <w:ilvl w:val="0"/>
          <w:numId w:val="4"/>
        </w:numPr>
        <w:spacing w:line="240" w:lineRule="auto"/>
        <w:rPr>
          <w:rStyle w:val="normaltextrun"/>
          <w:rFonts w:ascii="Tw Cen MT" w:eastAsia="Times New Roman" w:hAnsi="Tw Cen MT" w:cs="Segoe UI"/>
          <w:sz w:val="16"/>
          <w:szCs w:val="16"/>
        </w:rPr>
      </w:pPr>
      <w:proofErr w:type="spellStart"/>
      <w:r w:rsidRPr="00136B59">
        <w:rPr>
          <w:rStyle w:val="normaltextrun"/>
          <w:rFonts w:ascii="Tw Cen MT" w:eastAsia="Times New Roman" w:hAnsi="Tw Cen MT" w:cs="Segoe UI"/>
          <w:sz w:val="16"/>
          <w:szCs w:val="16"/>
        </w:rPr>
        <w:t>Hanfstein</w:t>
      </w:r>
      <w:proofErr w:type="spellEnd"/>
      <w:r w:rsidRPr="00136B59">
        <w:rPr>
          <w:rStyle w:val="normaltextrun"/>
          <w:rFonts w:ascii="Tw Cen MT" w:eastAsia="Times New Roman" w:hAnsi="Tw Cen MT" w:cs="Segoe UI"/>
          <w:sz w:val="16"/>
          <w:szCs w:val="16"/>
        </w:rPr>
        <w:t xml:space="preserve"> B, </w:t>
      </w:r>
      <w:proofErr w:type="spellStart"/>
      <w:r w:rsidRPr="00136B59">
        <w:rPr>
          <w:rStyle w:val="normaltextrun"/>
          <w:rFonts w:ascii="Tw Cen MT" w:eastAsia="Times New Roman" w:hAnsi="Tw Cen MT" w:cs="Segoe UI"/>
          <w:sz w:val="16"/>
          <w:szCs w:val="16"/>
        </w:rPr>
        <w:t>Lauseker</w:t>
      </w:r>
      <w:proofErr w:type="spellEnd"/>
      <w:r w:rsidRPr="00136B59">
        <w:rPr>
          <w:rStyle w:val="normaltextrun"/>
          <w:rFonts w:ascii="Tw Cen MT" w:eastAsia="Times New Roman" w:hAnsi="Tw Cen MT" w:cs="Segoe UI"/>
          <w:sz w:val="16"/>
          <w:szCs w:val="16"/>
        </w:rPr>
        <w:t xml:space="preserve"> M, </w:t>
      </w:r>
      <w:proofErr w:type="spellStart"/>
      <w:r w:rsidRPr="00136B59">
        <w:rPr>
          <w:rStyle w:val="normaltextrun"/>
          <w:rFonts w:ascii="Tw Cen MT" w:eastAsia="Times New Roman" w:hAnsi="Tw Cen MT" w:cs="Segoe UI"/>
          <w:sz w:val="16"/>
          <w:szCs w:val="16"/>
        </w:rPr>
        <w:t>Hehlmann</w:t>
      </w:r>
      <w:proofErr w:type="spellEnd"/>
      <w:r w:rsidRPr="00136B59">
        <w:rPr>
          <w:rStyle w:val="normaltextrun"/>
          <w:rFonts w:ascii="Tw Cen MT" w:eastAsia="Times New Roman" w:hAnsi="Tw Cen MT" w:cs="Segoe UI"/>
          <w:sz w:val="16"/>
          <w:szCs w:val="16"/>
        </w:rPr>
        <w:t xml:space="preserve"> R, </w:t>
      </w:r>
      <w:proofErr w:type="spellStart"/>
      <w:r w:rsidRPr="00136B59">
        <w:rPr>
          <w:rStyle w:val="normaltextrun"/>
          <w:rFonts w:ascii="Tw Cen MT" w:eastAsia="Times New Roman" w:hAnsi="Tw Cen MT" w:cs="Segoe UI"/>
          <w:sz w:val="16"/>
          <w:szCs w:val="16"/>
        </w:rPr>
        <w:t>Saussele</w:t>
      </w:r>
      <w:proofErr w:type="spellEnd"/>
      <w:r w:rsidRPr="00136B59">
        <w:rPr>
          <w:rStyle w:val="normaltextrun"/>
          <w:rFonts w:ascii="Tw Cen MT" w:eastAsia="Times New Roman" w:hAnsi="Tw Cen MT" w:cs="Segoe UI"/>
          <w:sz w:val="16"/>
          <w:szCs w:val="16"/>
        </w:rPr>
        <w:t xml:space="preserve"> S, </w:t>
      </w:r>
      <w:proofErr w:type="spellStart"/>
      <w:r w:rsidRPr="00136B59">
        <w:rPr>
          <w:rStyle w:val="normaltextrun"/>
          <w:rFonts w:ascii="Tw Cen MT" w:eastAsia="Times New Roman" w:hAnsi="Tw Cen MT" w:cs="Segoe UI"/>
          <w:sz w:val="16"/>
          <w:szCs w:val="16"/>
        </w:rPr>
        <w:t>Erben</w:t>
      </w:r>
      <w:proofErr w:type="spellEnd"/>
      <w:r w:rsidRPr="00136B59">
        <w:rPr>
          <w:rStyle w:val="normaltextrun"/>
          <w:rFonts w:ascii="Tw Cen MT" w:eastAsia="Times New Roman" w:hAnsi="Tw Cen MT" w:cs="Segoe UI"/>
          <w:sz w:val="16"/>
          <w:szCs w:val="16"/>
        </w:rPr>
        <w:t xml:space="preserve"> P, Dietz C (2014) Distinct characteristics of e13a2 versus e14a2 BCR-ABL1 driven chronic myeloid leukemia under first-line therapy with imatinib. Haematologica.99:1441–7. </w:t>
      </w:r>
    </w:p>
    <w:p w14:paraId="5C1793FE" w14:textId="77777777" w:rsidR="00271CF5" w:rsidRPr="00136B59" w:rsidRDefault="00271CF5" w:rsidP="004249F0">
      <w:pPr>
        <w:pStyle w:val="ListParagraph"/>
        <w:numPr>
          <w:ilvl w:val="0"/>
          <w:numId w:val="4"/>
        </w:numPr>
        <w:spacing w:line="240" w:lineRule="auto"/>
        <w:rPr>
          <w:rStyle w:val="normaltextrun"/>
          <w:rFonts w:ascii="Tw Cen MT" w:eastAsia="Times New Roman" w:hAnsi="Tw Cen MT" w:cs="Segoe UI"/>
          <w:sz w:val="16"/>
          <w:szCs w:val="16"/>
        </w:rPr>
      </w:pPr>
      <w:r w:rsidRPr="00136B59">
        <w:rPr>
          <w:rStyle w:val="normaltextrun"/>
          <w:rFonts w:ascii="Tw Cen MT" w:eastAsia="Times New Roman" w:hAnsi="Tw Cen MT" w:cs="Segoe UI"/>
          <w:sz w:val="16"/>
          <w:szCs w:val="16"/>
        </w:rPr>
        <w:t xml:space="preserve">Jain P, </w:t>
      </w:r>
      <w:proofErr w:type="spellStart"/>
      <w:r w:rsidRPr="00136B59">
        <w:rPr>
          <w:rStyle w:val="normaltextrun"/>
          <w:rFonts w:ascii="Tw Cen MT" w:eastAsia="Times New Roman" w:hAnsi="Tw Cen MT" w:cs="Segoe UI"/>
          <w:sz w:val="16"/>
          <w:szCs w:val="16"/>
        </w:rPr>
        <w:t>Kantarjian</w:t>
      </w:r>
      <w:proofErr w:type="spellEnd"/>
      <w:r w:rsidRPr="00136B59">
        <w:rPr>
          <w:rStyle w:val="normaltextrun"/>
          <w:rFonts w:ascii="Tw Cen MT" w:eastAsia="Times New Roman" w:hAnsi="Tw Cen MT" w:cs="Segoe UI"/>
          <w:sz w:val="16"/>
          <w:szCs w:val="16"/>
        </w:rPr>
        <w:t xml:space="preserve"> H, Patel KP, Gonzalez GN, Luthra R, </w:t>
      </w:r>
      <w:proofErr w:type="spellStart"/>
      <w:r w:rsidRPr="00136B59">
        <w:rPr>
          <w:rStyle w:val="normaltextrun"/>
          <w:rFonts w:ascii="Tw Cen MT" w:eastAsia="Times New Roman" w:hAnsi="Tw Cen MT" w:cs="Segoe UI"/>
          <w:sz w:val="16"/>
          <w:szCs w:val="16"/>
        </w:rPr>
        <w:t>Shamanna</w:t>
      </w:r>
      <w:proofErr w:type="spellEnd"/>
      <w:r w:rsidRPr="00136B59">
        <w:rPr>
          <w:rStyle w:val="normaltextrun"/>
          <w:rFonts w:ascii="Tw Cen MT" w:eastAsia="Times New Roman" w:hAnsi="Tw Cen MT" w:cs="Segoe UI"/>
          <w:sz w:val="16"/>
          <w:szCs w:val="16"/>
        </w:rPr>
        <w:t xml:space="preserve"> RK (2016) Impact of BCR-ABL transcript type on outcome in patients with chronic-phase CML treated with tyrosine kinase inhibitors. Blood.127:1269–75.  </w:t>
      </w:r>
    </w:p>
    <w:p w14:paraId="0F9560B3" w14:textId="77777777" w:rsidR="00271CF5" w:rsidRPr="00136B59" w:rsidRDefault="00271CF5" w:rsidP="004249F0">
      <w:pPr>
        <w:pStyle w:val="ListParagraph"/>
        <w:numPr>
          <w:ilvl w:val="0"/>
          <w:numId w:val="4"/>
        </w:numPr>
        <w:spacing w:line="240" w:lineRule="auto"/>
        <w:rPr>
          <w:rStyle w:val="normaltextrun"/>
          <w:rFonts w:ascii="Tw Cen MT" w:eastAsia="Times New Roman" w:hAnsi="Tw Cen MT" w:cs="Segoe UI"/>
          <w:sz w:val="16"/>
          <w:szCs w:val="16"/>
        </w:rPr>
      </w:pPr>
      <w:proofErr w:type="spellStart"/>
      <w:r w:rsidRPr="00136B59">
        <w:rPr>
          <w:rStyle w:val="normaltextrun"/>
          <w:rFonts w:ascii="Tw Cen MT" w:eastAsia="Times New Roman" w:hAnsi="Tw Cen MT" w:cs="Segoe UI"/>
          <w:sz w:val="16"/>
          <w:szCs w:val="16"/>
        </w:rPr>
        <w:t>Castagnetti</w:t>
      </w:r>
      <w:proofErr w:type="spellEnd"/>
      <w:r w:rsidRPr="00136B59">
        <w:rPr>
          <w:rStyle w:val="normaltextrun"/>
          <w:rFonts w:ascii="Tw Cen MT" w:eastAsia="Times New Roman" w:hAnsi="Tw Cen MT" w:cs="Segoe UI"/>
          <w:sz w:val="16"/>
          <w:szCs w:val="16"/>
        </w:rPr>
        <w:t xml:space="preserve"> F, Gugliotta G, Breccia M, </w:t>
      </w:r>
      <w:proofErr w:type="spellStart"/>
      <w:r w:rsidRPr="00136B59">
        <w:rPr>
          <w:rStyle w:val="normaltextrun"/>
          <w:rFonts w:ascii="Tw Cen MT" w:eastAsia="Times New Roman" w:hAnsi="Tw Cen MT" w:cs="Segoe UI"/>
          <w:sz w:val="16"/>
          <w:szCs w:val="16"/>
        </w:rPr>
        <w:t>Iurlo</w:t>
      </w:r>
      <w:proofErr w:type="spellEnd"/>
      <w:r w:rsidRPr="00136B59">
        <w:rPr>
          <w:rStyle w:val="normaltextrun"/>
          <w:rFonts w:ascii="Tw Cen MT" w:eastAsia="Times New Roman" w:hAnsi="Tw Cen MT" w:cs="Segoe UI"/>
          <w:sz w:val="16"/>
          <w:szCs w:val="16"/>
        </w:rPr>
        <w:t xml:space="preserve"> A, </w:t>
      </w:r>
      <w:proofErr w:type="spellStart"/>
      <w:r w:rsidRPr="00136B59">
        <w:rPr>
          <w:rStyle w:val="normaltextrun"/>
          <w:rFonts w:ascii="Tw Cen MT" w:eastAsia="Times New Roman" w:hAnsi="Tw Cen MT" w:cs="Segoe UI"/>
          <w:sz w:val="16"/>
          <w:szCs w:val="16"/>
        </w:rPr>
        <w:t>Levato</w:t>
      </w:r>
      <w:proofErr w:type="spellEnd"/>
      <w:r w:rsidRPr="00136B59">
        <w:rPr>
          <w:rStyle w:val="normaltextrun"/>
          <w:rFonts w:ascii="Tw Cen MT" w:eastAsia="Times New Roman" w:hAnsi="Tw Cen MT" w:cs="Segoe UI"/>
          <w:sz w:val="16"/>
          <w:szCs w:val="16"/>
        </w:rPr>
        <w:t xml:space="preserve"> L, Albano F (2017) The BCR-ABL1 transcript type influences response and outcome in Philadelphia chromosome-positive chronic myeloid leukemia patients treated frontline with imatinib. Am J </w:t>
      </w:r>
      <w:proofErr w:type="spellStart"/>
      <w:r w:rsidRPr="00136B59">
        <w:rPr>
          <w:rStyle w:val="normaltextrun"/>
          <w:rFonts w:ascii="Tw Cen MT" w:eastAsia="Times New Roman" w:hAnsi="Tw Cen MT" w:cs="Segoe UI"/>
          <w:sz w:val="16"/>
          <w:szCs w:val="16"/>
        </w:rPr>
        <w:t>Hematol</w:t>
      </w:r>
      <w:proofErr w:type="spellEnd"/>
      <w:r w:rsidRPr="00136B59">
        <w:rPr>
          <w:rStyle w:val="normaltextrun"/>
          <w:rFonts w:ascii="Tw Cen MT" w:eastAsia="Times New Roman" w:hAnsi="Tw Cen MT" w:cs="Segoe UI"/>
          <w:sz w:val="16"/>
          <w:szCs w:val="16"/>
        </w:rPr>
        <w:t xml:space="preserve">. 92:797–805. </w:t>
      </w:r>
    </w:p>
    <w:p w14:paraId="70AB7C4E" w14:textId="5C4F319D" w:rsidR="00271CF5" w:rsidRPr="00136B59" w:rsidRDefault="00271CF5" w:rsidP="004249F0">
      <w:pPr>
        <w:pStyle w:val="ListParagraph"/>
        <w:numPr>
          <w:ilvl w:val="0"/>
          <w:numId w:val="4"/>
        </w:numPr>
        <w:spacing w:line="240" w:lineRule="auto"/>
        <w:rPr>
          <w:rStyle w:val="normaltextrun"/>
          <w:rFonts w:ascii="Tw Cen MT" w:eastAsia="Times New Roman" w:hAnsi="Tw Cen MT" w:cs="Segoe UI"/>
          <w:sz w:val="16"/>
          <w:szCs w:val="16"/>
        </w:rPr>
      </w:pPr>
      <w:r w:rsidRPr="00136B59">
        <w:rPr>
          <w:rStyle w:val="normaltextrun"/>
          <w:rFonts w:ascii="Tw Cen MT" w:eastAsia="Times New Roman" w:hAnsi="Tw Cen MT" w:cs="Segoe UI"/>
          <w:sz w:val="16"/>
          <w:szCs w:val="16"/>
        </w:rPr>
        <w:t xml:space="preserve">Matthew S, White HE, Hana Z, Nicholas C.P C (2022) Impact of </w:t>
      </w:r>
      <w:proofErr w:type="gramStart"/>
      <w:r w:rsidRPr="00136B59">
        <w:rPr>
          <w:rStyle w:val="normaltextrun"/>
          <w:rFonts w:ascii="Tw Cen MT" w:eastAsia="Times New Roman" w:hAnsi="Tw Cen MT" w:cs="Segoe UI"/>
          <w:sz w:val="16"/>
          <w:szCs w:val="16"/>
        </w:rPr>
        <w:t>BCR::</w:t>
      </w:r>
      <w:proofErr w:type="gramEnd"/>
      <w:r w:rsidRPr="00136B59">
        <w:rPr>
          <w:rStyle w:val="normaltextrun"/>
          <w:rFonts w:ascii="Tw Cen MT" w:eastAsia="Times New Roman" w:hAnsi="Tw Cen MT" w:cs="Segoe UI"/>
          <w:sz w:val="16"/>
          <w:szCs w:val="16"/>
        </w:rPr>
        <w:t>ABL1 transcript type on RT-qPCR amplification performance and molecular response to therapy. Leukemia 36(7):1-8</w:t>
      </w:r>
    </w:p>
    <w:p w14:paraId="4B0DFFDE" w14:textId="44D6461A" w:rsidR="00AE3E37" w:rsidRDefault="00AE3E37">
      <w:pPr>
        <w:spacing w:line="200" w:lineRule="exact"/>
        <w:jc w:val="both"/>
        <w:rPr>
          <w:rFonts w:ascii="Calibri" w:hAnsi="Calibri"/>
        </w:rPr>
        <w:sectPr w:rsidR="00AE3E37" w:rsidSect="00E11B51">
          <w:type w:val="continuous"/>
          <w:pgSz w:w="11910" w:h="16840"/>
          <w:pgMar w:top="995" w:right="600" w:bottom="630" w:left="620" w:header="720" w:footer="720" w:gutter="0"/>
          <w:cols w:num="2" w:space="720" w:equalWidth="0">
            <w:col w:w="5214" w:space="138"/>
            <w:col w:w="5338"/>
          </w:cols>
        </w:sectPr>
      </w:pPr>
    </w:p>
    <w:p w14:paraId="0B98654C" w14:textId="77777777" w:rsidR="00411002" w:rsidRPr="00E11B51" w:rsidRDefault="00411002">
      <w:pPr>
        <w:pStyle w:val="BodyText"/>
        <w:rPr>
          <w:sz w:val="16"/>
          <w:szCs w:val="16"/>
        </w:rPr>
      </w:pPr>
    </w:p>
    <w:p w14:paraId="5A018E2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A94FBF1" wp14:editId="309206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495C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8B7198E" w14:textId="71DD8FA2" w:rsidR="00AE3E37" w:rsidRDefault="008756E6" w:rsidP="00404E5B">
      <w:pPr>
        <w:spacing w:before="92"/>
        <w:ind w:right="4234"/>
        <w:rPr>
          <w:rFonts w:ascii="Arial"/>
        </w:rPr>
      </w:pPr>
      <w:r>
        <w:rPr>
          <w:noProof/>
        </w:rPr>
        <w:t xml:space="preserve">  </w:t>
      </w:r>
      <w:r w:rsidR="00847D7A">
        <w:rPr>
          <w:noProof/>
        </w:rPr>
        <w:t xml:space="preserve">    </w:t>
      </w:r>
      <w:r>
        <w:rPr>
          <w:noProof/>
        </w:rPr>
        <w:t xml:space="preserve"> </w:t>
      </w:r>
      <w:r w:rsidR="00271CF5">
        <w:rPr>
          <w:noProof/>
        </w:rPr>
        <w:drawing>
          <wp:inline distT="0" distB="0" distL="0" distR="0" wp14:anchorId="1E28F48A" wp14:editId="243A016A">
            <wp:extent cx="500081" cy="654334"/>
            <wp:effectExtent l="0" t="0" r="0" b="0"/>
            <wp:docPr id="1986620922" name="Picture 198662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0081" cy="654334"/>
                    </a:xfrm>
                    <a:prstGeom prst="rect">
                      <a:avLst/>
                    </a:prstGeom>
                  </pic:spPr>
                </pic:pic>
              </a:graphicData>
            </a:graphic>
          </wp:inline>
        </w:drawing>
      </w:r>
      <w:r w:rsidR="00404E5B">
        <w:rPr>
          <w:rFonts w:ascii="Arial"/>
          <w:color w:val="BF5A14"/>
        </w:rPr>
        <w:t xml:space="preserve"> </w:t>
      </w:r>
      <w:r w:rsidR="00847D7A">
        <w:rPr>
          <w:rFonts w:ascii="Arial"/>
          <w:color w:val="BF5A14"/>
        </w:rPr>
        <w:t xml:space="preserve">      </w:t>
      </w:r>
      <w:r w:rsidR="00B1501B">
        <w:rPr>
          <w:rFonts w:ascii="Arial"/>
          <w:color w:val="BF5A14"/>
        </w:rPr>
        <w:t xml:space="preserve">     </w:t>
      </w:r>
      <w:r w:rsidR="00847D7A">
        <w:rPr>
          <w:rFonts w:ascii="Arial"/>
          <w:color w:val="BF5A14"/>
        </w:rPr>
        <w:t xml:space="preserve">                         </w:t>
      </w:r>
      <w:r w:rsidR="00B1501B">
        <w:rPr>
          <w:noProof/>
        </w:rPr>
        <w:drawing>
          <wp:inline distT="0" distB="0" distL="0" distR="0" wp14:anchorId="2AC0C0B9" wp14:editId="3FAE475C">
            <wp:extent cx="1047750" cy="552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47750" cy="552450"/>
                    </a:xfrm>
                    <a:prstGeom prst="rect">
                      <a:avLst/>
                    </a:prstGeom>
                  </pic:spPr>
                </pic:pic>
              </a:graphicData>
            </a:graphic>
          </wp:inline>
        </w:drawing>
      </w:r>
      <w:r w:rsidR="00847D7A">
        <w:rPr>
          <w:rFonts w:ascii="Arial"/>
          <w:color w:val="BF5A14"/>
        </w:rPr>
        <w:t xml:space="preserve">        </w:t>
      </w:r>
      <w:r w:rsidR="00271CF5">
        <w:rPr>
          <w:rFonts w:ascii="Times New Roman" w:hAnsi="Times New Roman" w:cs="Times New Roman"/>
          <w:sz w:val="24"/>
          <w:szCs w:val="24"/>
        </w:rPr>
        <w:t xml:space="preserve"> </w:t>
      </w:r>
    </w:p>
    <w:p w14:paraId="4409A16E" w14:textId="77777777" w:rsidR="00847D7A" w:rsidRDefault="00847D7A" w:rsidP="00271CF5">
      <w:pPr>
        <w:spacing w:before="41" w:line="154" w:lineRule="exact"/>
        <w:ind w:left="213" w:right="231"/>
        <w:jc w:val="both"/>
        <w:rPr>
          <w:rFonts w:ascii="Arial" w:eastAsia="Arial" w:hAnsi="Arial" w:cs="Arial"/>
          <w:sz w:val="14"/>
          <w:szCs w:val="14"/>
        </w:rPr>
      </w:pPr>
    </w:p>
    <w:p w14:paraId="405344EF" w14:textId="3548C711" w:rsidR="00271CF5" w:rsidRPr="00847D7A" w:rsidRDefault="00271CF5" w:rsidP="00847D7A">
      <w:pPr>
        <w:spacing w:before="41" w:line="276" w:lineRule="auto"/>
        <w:ind w:left="213" w:right="231"/>
        <w:jc w:val="both"/>
        <w:rPr>
          <w:sz w:val="20"/>
          <w:szCs w:val="20"/>
          <w:lang w:val="en-NZ"/>
        </w:rPr>
      </w:pPr>
      <w:r w:rsidRPr="00847D7A">
        <w:rPr>
          <w:sz w:val="20"/>
          <w:szCs w:val="20"/>
          <w:lang w:val="en-NZ"/>
        </w:rPr>
        <w:t xml:space="preserve">Huilin Wei has more than 15 years of extensive experience in molecular and protein assay development. She has her expertise in molecular biology, immunology, and oncology. Current research focuses on assay control and detection platforms to provide accurate and high quality IVT products for cancer diagnostic and monitoring. </w:t>
      </w:r>
    </w:p>
    <w:p w14:paraId="2EDB1C3C" w14:textId="36E1AF95" w:rsidR="00AE3E37" w:rsidRPr="00847D7A" w:rsidRDefault="00847D7A" w:rsidP="00847D7A">
      <w:pPr>
        <w:spacing w:before="62"/>
        <w:ind w:right="4235"/>
        <w:jc w:val="center"/>
        <w:rPr>
          <w:sz w:val="20"/>
          <w:szCs w:val="20"/>
          <w:lang w:val="en-NZ"/>
        </w:rPr>
      </w:pPr>
      <w:r>
        <w:rPr>
          <w:sz w:val="20"/>
          <w:szCs w:val="20"/>
          <w:lang w:val="en-NZ"/>
        </w:rPr>
        <w:t xml:space="preserve">                                        </w:t>
      </w:r>
      <w:r w:rsidR="00B1501B">
        <w:rPr>
          <w:sz w:val="20"/>
          <w:szCs w:val="20"/>
          <w:lang w:val="en-NZ"/>
        </w:rPr>
        <w:t xml:space="preserve">         </w:t>
      </w:r>
      <w:r w:rsidR="00A9710C" w:rsidRPr="00847D7A">
        <w:rPr>
          <w:sz w:val="20"/>
          <w:szCs w:val="20"/>
          <w:lang w:val="en-NZ"/>
        </w:rPr>
        <w:t xml:space="preserve">Email: </w:t>
      </w:r>
      <w:hyperlink r:id="rId23" w:history="1">
        <w:r w:rsidRPr="00085E93">
          <w:rPr>
            <w:rStyle w:val="Hyperlink"/>
            <w:sz w:val="20"/>
            <w:szCs w:val="20"/>
            <w:lang w:val="en-NZ"/>
          </w:rPr>
          <w:t>huilin.wei@cepheid.com</w:t>
        </w:r>
      </w:hyperlink>
    </w:p>
    <w:p w14:paraId="26D6F60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3ECE2A50" wp14:editId="063A267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74E5B"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FA82D6D" w14:textId="77777777" w:rsidR="00AE3E37" w:rsidRDefault="00AE3E37">
      <w:pPr>
        <w:pStyle w:val="BodyText"/>
        <w:rPr>
          <w:rFonts w:ascii="Arial"/>
          <w:sz w:val="20"/>
        </w:rPr>
      </w:pPr>
    </w:p>
    <w:p w14:paraId="11E376C2" w14:textId="77777777" w:rsidR="00AE3E37" w:rsidRDefault="00AE3E37">
      <w:pPr>
        <w:pStyle w:val="BodyText"/>
        <w:rPr>
          <w:rFonts w:ascii="Arial"/>
          <w:sz w:val="20"/>
        </w:rPr>
      </w:pPr>
    </w:p>
    <w:p w14:paraId="2FDBBE9E" w14:textId="77777777" w:rsidR="00AE3E37" w:rsidRDefault="00A9710C" w:rsidP="000534A1">
      <w:pPr>
        <w:spacing w:before="39"/>
        <w:ind w:left="100"/>
        <w:rPr>
          <w:rFonts w:ascii="Minion Pro"/>
          <w:b/>
          <w:sz w:val="20"/>
        </w:rPr>
      </w:pPr>
      <w:r w:rsidRPr="00B21A57">
        <w:rPr>
          <w:rFonts w:ascii="Minion Pro"/>
          <w:b/>
          <w:sz w:val="20"/>
        </w:rPr>
        <w:t>Notes/Comments:</w:t>
      </w:r>
    </w:p>
    <w:p w14:paraId="1C2C75F0" w14:textId="77777777" w:rsidR="00EA7D51" w:rsidRDefault="00EA7D51" w:rsidP="000534A1">
      <w:pPr>
        <w:spacing w:before="39"/>
        <w:ind w:left="100"/>
        <w:rPr>
          <w:rFonts w:ascii="Minion Pro"/>
          <w:b/>
          <w:sz w:val="20"/>
        </w:rPr>
      </w:pPr>
    </w:p>
    <w:p w14:paraId="70B5370D" w14:textId="77777777" w:rsidR="00EA7D51" w:rsidRDefault="00EA7D51" w:rsidP="000534A1">
      <w:pPr>
        <w:spacing w:before="39"/>
        <w:ind w:left="100"/>
        <w:rPr>
          <w:rFonts w:ascii="Minion Pro"/>
          <w:b/>
          <w:sz w:val="20"/>
        </w:rPr>
      </w:pPr>
    </w:p>
    <w:p w14:paraId="730DD6C5" w14:textId="12CF859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47D7A">
        <w:rPr>
          <w:sz w:val="20"/>
          <w:szCs w:val="20"/>
          <w:lang w:val="en-NZ"/>
        </w:rPr>
        <w:t>Huilin Wei</w:t>
      </w:r>
      <w:r w:rsidRPr="00F35A62">
        <w:rPr>
          <w:sz w:val="20"/>
          <w:szCs w:val="20"/>
          <w:lang w:val="en-NZ"/>
        </w:rPr>
        <w:br/>
        <w:t>Contact number:</w:t>
      </w:r>
      <w:r w:rsidR="00847D7A">
        <w:rPr>
          <w:sz w:val="20"/>
          <w:szCs w:val="20"/>
          <w:lang w:val="en-NZ"/>
        </w:rPr>
        <w:t>4082420314</w:t>
      </w:r>
      <w:r w:rsidRPr="00F35A62">
        <w:rPr>
          <w:sz w:val="20"/>
          <w:szCs w:val="20"/>
          <w:lang w:val="en-NZ"/>
        </w:rPr>
        <w:br/>
        <w:t>Twitter account:</w:t>
      </w:r>
      <w:r w:rsidRPr="00F35A62">
        <w:rPr>
          <w:sz w:val="20"/>
          <w:szCs w:val="20"/>
          <w:lang w:val="en-NZ"/>
        </w:rPr>
        <w:br/>
        <w:t>Linked In account:</w:t>
      </w:r>
      <w:r w:rsidR="00847D7A" w:rsidRPr="00847D7A">
        <w:t xml:space="preserve"> </w:t>
      </w:r>
      <w:hyperlink r:id="rId24" w:history="1">
        <w:r w:rsidR="00847D7A" w:rsidRPr="00847D7A">
          <w:rPr>
            <w:rStyle w:val="Hyperlink"/>
            <w:rFonts w:cs="Segoe UI"/>
            <w:color w:val="auto"/>
            <w:sz w:val="21"/>
            <w:szCs w:val="21"/>
            <w:u w:val="none"/>
            <w:shd w:val="clear" w:color="auto" w:fill="FFFFFF"/>
          </w:rPr>
          <w:t>linkedin.com/in/huilin-wei-91779438</w:t>
        </w:r>
      </w:hyperlink>
    </w:p>
    <w:p w14:paraId="0F1DEE4E" w14:textId="72CF518D" w:rsidR="00AE3E37" w:rsidRDefault="00EA7D51" w:rsidP="00144093">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 xml:space="preserve">Category: (Oral presentation/ </w:t>
      </w:r>
      <w:r w:rsidRPr="00847D7A">
        <w:rPr>
          <w:sz w:val="20"/>
          <w:szCs w:val="20"/>
          <w:u w:val="single"/>
          <w:lang w:val="en-NZ"/>
        </w:rPr>
        <w:t>Poster presentation</w:t>
      </w:r>
      <w:r w:rsidRPr="00F35A62">
        <w:rPr>
          <w:sz w:val="20"/>
          <w:szCs w:val="20"/>
          <w:lang w:val="en-NZ"/>
        </w:rPr>
        <w:t>)</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3D7C8" w14:textId="77777777" w:rsidR="006C3D13" w:rsidRDefault="006C3D13">
      <w:r>
        <w:separator/>
      </w:r>
    </w:p>
  </w:endnote>
  <w:endnote w:type="continuationSeparator" w:id="0">
    <w:p w14:paraId="009FB177" w14:textId="77777777" w:rsidR="006C3D13" w:rsidRDefault="006C3D13">
      <w:r>
        <w:continuationSeparator/>
      </w:r>
    </w:p>
  </w:endnote>
  <w:endnote w:type="continuationNotice" w:id="1">
    <w:p w14:paraId="6C50D706" w14:textId="77777777" w:rsidR="006C3D13" w:rsidRDefault="006C3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5952" w14:textId="77777777" w:rsidR="00847D7A" w:rsidRDefault="00847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71EC" w14:textId="7B774BF9" w:rsidR="00AE3E37" w:rsidRDefault="00292ED9">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2CEE1192" wp14:editId="4424D4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57B8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51D6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E1192"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37B57B8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51D6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53E6B6AE" wp14:editId="54FB1C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C2C9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97D6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6B6AE" id="Text Box 1" o:spid="_x0000_s1027" type="#_x0000_t202" style="position:absolute;margin-left:468.9pt;margin-top:798.8pt;width:91.4pt;height:26.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0B8C2C9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97D6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EF9C" w14:textId="77777777" w:rsidR="00847D7A" w:rsidRDefault="00847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68F80" w14:textId="77777777" w:rsidR="006C3D13" w:rsidRDefault="006C3D13">
      <w:r>
        <w:separator/>
      </w:r>
    </w:p>
  </w:footnote>
  <w:footnote w:type="continuationSeparator" w:id="0">
    <w:p w14:paraId="294D8BC6" w14:textId="77777777" w:rsidR="006C3D13" w:rsidRDefault="006C3D13">
      <w:r>
        <w:continuationSeparator/>
      </w:r>
    </w:p>
  </w:footnote>
  <w:footnote w:type="continuationNotice" w:id="1">
    <w:p w14:paraId="2AC4F7C9" w14:textId="77777777" w:rsidR="006C3D13" w:rsidRDefault="006C3D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7A58" w14:textId="77777777" w:rsidR="00847D7A" w:rsidRDefault="00847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E7E3" w14:textId="77777777" w:rsidR="00847D7A" w:rsidRDefault="00847D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3B3F" w14:textId="77777777" w:rsidR="00847D7A" w:rsidRDefault="00847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07637"/>
    <w:multiLevelType w:val="hybridMultilevel"/>
    <w:tmpl w:val="5CAE1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927974"/>
    <w:multiLevelType w:val="hybridMultilevel"/>
    <w:tmpl w:val="A588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85168114">
    <w:abstractNumId w:val="2"/>
  </w:num>
  <w:num w:numId="2" w16cid:durableId="1013654325">
    <w:abstractNumId w:val="3"/>
  </w:num>
  <w:num w:numId="3" w16cid:durableId="98913047">
    <w:abstractNumId w:val="2"/>
    <w:lvlOverride w:ilvl="0">
      <w:startOverride w:val="1"/>
    </w:lvlOverride>
    <w:lvlOverride w:ilvl="1"/>
    <w:lvlOverride w:ilvl="2"/>
    <w:lvlOverride w:ilvl="3"/>
    <w:lvlOverride w:ilvl="4"/>
    <w:lvlOverride w:ilvl="5"/>
    <w:lvlOverride w:ilvl="6"/>
    <w:lvlOverride w:ilvl="7"/>
    <w:lvlOverride w:ilvl="8"/>
  </w:num>
  <w:num w:numId="4" w16cid:durableId="1008868121">
    <w:abstractNumId w:val="0"/>
  </w:num>
  <w:num w:numId="5" w16cid:durableId="716662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DEF"/>
    <w:rsid w:val="00024386"/>
    <w:rsid w:val="00025374"/>
    <w:rsid w:val="00040320"/>
    <w:rsid w:val="0004120B"/>
    <w:rsid w:val="000462FB"/>
    <w:rsid w:val="000534A1"/>
    <w:rsid w:val="0006797A"/>
    <w:rsid w:val="00075A53"/>
    <w:rsid w:val="000820E9"/>
    <w:rsid w:val="0009435C"/>
    <w:rsid w:val="000946EC"/>
    <w:rsid w:val="00097F60"/>
    <w:rsid w:val="000A09A3"/>
    <w:rsid w:val="000A31ED"/>
    <w:rsid w:val="000B4CAA"/>
    <w:rsid w:val="000C2D9A"/>
    <w:rsid w:val="000C30B1"/>
    <w:rsid w:val="000E2911"/>
    <w:rsid w:val="000E5B34"/>
    <w:rsid w:val="000E6937"/>
    <w:rsid w:val="000E6E45"/>
    <w:rsid w:val="000F6FC2"/>
    <w:rsid w:val="001008F4"/>
    <w:rsid w:val="00106C4B"/>
    <w:rsid w:val="00120E5B"/>
    <w:rsid w:val="001263DF"/>
    <w:rsid w:val="00132EBC"/>
    <w:rsid w:val="00134139"/>
    <w:rsid w:val="0013444B"/>
    <w:rsid w:val="00136B59"/>
    <w:rsid w:val="00144093"/>
    <w:rsid w:val="001500E4"/>
    <w:rsid w:val="00154B6C"/>
    <w:rsid w:val="00164BF6"/>
    <w:rsid w:val="001763A0"/>
    <w:rsid w:val="00184A52"/>
    <w:rsid w:val="001959B3"/>
    <w:rsid w:val="001A2024"/>
    <w:rsid w:val="001A3394"/>
    <w:rsid w:val="001B0908"/>
    <w:rsid w:val="001B1600"/>
    <w:rsid w:val="001B7313"/>
    <w:rsid w:val="001C5790"/>
    <w:rsid w:val="001C68F8"/>
    <w:rsid w:val="001C6B25"/>
    <w:rsid w:val="001D5DC2"/>
    <w:rsid w:val="001E13B0"/>
    <w:rsid w:val="001E3155"/>
    <w:rsid w:val="001E426B"/>
    <w:rsid w:val="001F3560"/>
    <w:rsid w:val="001F3905"/>
    <w:rsid w:val="001F3A10"/>
    <w:rsid w:val="001F49EB"/>
    <w:rsid w:val="00207B36"/>
    <w:rsid w:val="00220D25"/>
    <w:rsid w:val="00227061"/>
    <w:rsid w:val="00233E94"/>
    <w:rsid w:val="00240719"/>
    <w:rsid w:val="00252CD2"/>
    <w:rsid w:val="00270DCA"/>
    <w:rsid w:val="00271CF5"/>
    <w:rsid w:val="0027236C"/>
    <w:rsid w:val="00272555"/>
    <w:rsid w:val="002750DD"/>
    <w:rsid w:val="0027655A"/>
    <w:rsid w:val="00282CFD"/>
    <w:rsid w:val="00284B13"/>
    <w:rsid w:val="00292ED9"/>
    <w:rsid w:val="00292F36"/>
    <w:rsid w:val="002C6A21"/>
    <w:rsid w:val="002D4C60"/>
    <w:rsid w:val="002D4C7F"/>
    <w:rsid w:val="002E22A8"/>
    <w:rsid w:val="002E6C2C"/>
    <w:rsid w:val="002E7DE2"/>
    <w:rsid w:val="00304A4F"/>
    <w:rsid w:val="003064F7"/>
    <w:rsid w:val="003172BC"/>
    <w:rsid w:val="00317B47"/>
    <w:rsid w:val="00335E53"/>
    <w:rsid w:val="00343099"/>
    <w:rsid w:val="00351D9B"/>
    <w:rsid w:val="00366171"/>
    <w:rsid w:val="00380299"/>
    <w:rsid w:val="0038725D"/>
    <w:rsid w:val="00396E77"/>
    <w:rsid w:val="003A0212"/>
    <w:rsid w:val="003B2F13"/>
    <w:rsid w:val="003C1F99"/>
    <w:rsid w:val="003C217E"/>
    <w:rsid w:val="003C509E"/>
    <w:rsid w:val="003C655C"/>
    <w:rsid w:val="003E128B"/>
    <w:rsid w:val="003E29D9"/>
    <w:rsid w:val="003E7DF0"/>
    <w:rsid w:val="003F291F"/>
    <w:rsid w:val="00404E5B"/>
    <w:rsid w:val="00405CD2"/>
    <w:rsid w:val="00411002"/>
    <w:rsid w:val="00414F7B"/>
    <w:rsid w:val="00415AED"/>
    <w:rsid w:val="00416480"/>
    <w:rsid w:val="00416F0D"/>
    <w:rsid w:val="004249F0"/>
    <w:rsid w:val="00424B1B"/>
    <w:rsid w:val="004346AE"/>
    <w:rsid w:val="004355DC"/>
    <w:rsid w:val="00437494"/>
    <w:rsid w:val="004428BC"/>
    <w:rsid w:val="004571CB"/>
    <w:rsid w:val="004614AF"/>
    <w:rsid w:val="004749B4"/>
    <w:rsid w:val="00475D20"/>
    <w:rsid w:val="00485F9E"/>
    <w:rsid w:val="00492F71"/>
    <w:rsid w:val="00493EBD"/>
    <w:rsid w:val="00494130"/>
    <w:rsid w:val="004A2823"/>
    <w:rsid w:val="004B0C3C"/>
    <w:rsid w:val="004C5EF7"/>
    <w:rsid w:val="004F3523"/>
    <w:rsid w:val="004F7C85"/>
    <w:rsid w:val="005023F7"/>
    <w:rsid w:val="00504112"/>
    <w:rsid w:val="00510420"/>
    <w:rsid w:val="00510448"/>
    <w:rsid w:val="005162C2"/>
    <w:rsid w:val="00536AF9"/>
    <w:rsid w:val="00550381"/>
    <w:rsid w:val="00555B58"/>
    <w:rsid w:val="00564E45"/>
    <w:rsid w:val="0056593D"/>
    <w:rsid w:val="005766A0"/>
    <w:rsid w:val="00581323"/>
    <w:rsid w:val="00590B97"/>
    <w:rsid w:val="00590D60"/>
    <w:rsid w:val="00591F02"/>
    <w:rsid w:val="00595343"/>
    <w:rsid w:val="005973B9"/>
    <w:rsid w:val="005B3A56"/>
    <w:rsid w:val="005B41A8"/>
    <w:rsid w:val="005C2D89"/>
    <w:rsid w:val="005D06C1"/>
    <w:rsid w:val="005E22C8"/>
    <w:rsid w:val="005E7E37"/>
    <w:rsid w:val="005F2E73"/>
    <w:rsid w:val="006060CE"/>
    <w:rsid w:val="00606436"/>
    <w:rsid w:val="00607B3B"/>
    <w:rsid w:val="0061505C"/>
    <w:rsid w:val="00617D59"/>
    <w:rsid w:val="0062237D"/>
    <w:rsid w:val="0062625C"/>
    <w:rsid w:val="00631FF2"/>
    <w:rsid w:val="0063497F"/>
    <w:rsid w:val="00651557"/>
    <w:rsid w:val="00655D88"/>
    <w:rsid w:val="00666A1D"/>
    <w:rsid w:val="00674FD7"/>
    <w:rsid w:val="006812E9"/>
    <w:rsid w:val="00686155"/>
    <w:rsid w:val="006A740A"/>
    <w:rsid w:val="006C02CE"/>
    <w:rsid w:val="006C062B"/>
    <w:rsid w:val="006C38D7"/>
    <w:rsid w:val="006C3D13"/>
    <w:rsid w:val="006C7F04"/>
    <w:rsid w:val="006D38B4"/>
    <w:rsid w:val="006D487F"/>
    <w:rsid w:val="006D4B5A"/>
    <w:rsid w:val="006D4B9F"/>
    <w:rsid w:val="006D73A5"/>
    <w:rsid w:val="006E1E83"/>
    <w:rsid w:val="006F2BD7"/>
    <w:rsid w:val="006F5FA9"/>
    <w:rsid w:val="007067D0"/>
    <w:rsid w:val="00711A64"/>
    <w:rsid w:val="00714354"/>
    <w:rsid w:val="00731013"/>
    <w:rsid w:val="00732517"/>
    <w:rsid w:val="00740425"/>
    <w:rsid w:val="00750545"/>
    <w:rsid w:val="007515D3"/>
    <w:rsid w:val="007520F3"/>
    <w:rsid w:val="0075619F"/>
    <w:rsid w:val="00762894"/>
    <w:rsid w:val="00786577"/>
    <w:rsid w:val="00790A1B"/>
    <w:rsid w:val="00795BFE"/>
    <w:rsid w:val="007962BC"/>
    <w:rsid w:val="007A10BF"/>
    <w:rsid w:val="007A16C7"/>
    <w:rsid w:val="007C1555"/>
    <w:rsid w:val="007D12C0"/>
    <w:rsid w:val="007E34B4"/>
    <w:rsid w:val="007E7380"/>
    <w:rsid w:val="007F3752"/>
    <w:rsid w:val="007F6658"/>
    <w:rsid w:val="008002E7"/>
    <w:rsid w:val="00802290"/>
    <w:rsid w:val="008079D8"/>
    <w:rsid w:val="00810F90"/>
    <w:rsid w:val="0082046A"/>
    <w:rsid w:val="008220D4"/>
    <w:rsid w:val="00830588"/>
    <w:rsid w:val="00832778"/>
    <w:rsid w:val="0083370B"/>
    <w:rsid w:val="0083529E"/>
    <w:rsid w:val="00837309"/>
    <w:rsid w:val="008475FF"/>
    <w:rsid w:val="00847D7A"/>
    <w:rsid w:val="00853999"/>
    <w:rsid w:val="00856FF4"/>
    <w:rsid w:val="0085771E"/>
    <w:rsid w:val="00861420"/>
    <w:rsid w:val="0086318F"/>
    <w:rsid w:val="00873DF0"/>
    <w:rsid w:val="008756E6"/>
    <w:rsid w:val="008757AE"/>
    <w:rsid w:val="008760C3"/>
    <w:rsid w:val="00885115"/>
    <w:rsid w:val="00894B24"/>
    <w:rsid w:val="00897EC5"/>
    <w:rsid w:val="008A0763"/>
    <w:rsid w:val="008A69A7"/>
    <w:rsid w:val="008B2E29"/>
    <w:rsid w:val="008C1C38"/>
    <w:rsid w:val="008E13D9"/>
    <w:rsid w:val="008E5477"/>
    <w:rsid w:val="008F0060"/>
    <w:rsid w:val="009050E5"/>
    <w:rsid w:val="00905930"/>
    <w:rsid w:val="00914B26"/>
    <w:rsid w:val="00916C3E"/>
    <w:rsid w:val="00917723"/>
    <w:rsid w:val="00927253"/>
    <w:rsid w:val="00945F08"/>
    <w:rsid w:val="00974E8C"/>
    <w:rsid w:val="009961C9"/>
    <w:rsid w:val="009A2CDF"/>
    <w:rsid w:val="009A64C4"/>
    <w:rsid w:val="009B2D44"/>
    <w:rsid w:val="009B40CF"/>
    <w:rsid w:val="009C1D1D"/>
    <w:rsid w:val="009C72BF"/>
    <w:rsid w:val="009C75FB"/>
    <w:rsid w:val="009E3B19"/>
    <w:rsid w:val="009E4E73"/>
    <w:rsid w:val="00A076BA"/>
    <w:rsid w:val="00A07E82"/>
    <w:rsid w:val="00A2510F"/>
    <w:rsid w:val="00A27514"/>
    <w:rsid w:val="00A334EB"/>
    <w:rsid w:val="00A443EF"/>
    <w:rsid w:val="00A50A60"/>
    <w:rsid w:val="00A52075"/>
    <w:rsid w:val="00A61BCB"/>
    <w:rsid w:val="00A67969"/>
    <w:rsid w:val="00A72CE4"/>
    <w:rsid w:val="00A7697B"/>
    <w:rsid w:val="00A9710C"/>
    <w:rsid w:val="00AA0FDC"/>
    <w:rsid w:val="00AA5B6F"/>
    <w:rsid w:val="00AD219E"/>
    <w:rsid w:val="00AD2281"/>
    <w:rsid w:val="00AD4271"/>
    <w:rsid w:val="00AE3E37"/>
    <w:rsid w:val="00AE77C6"/>
    <w:rsid w:val="00B03B56"/>
    <w:rsid w:val="00B14BBC"/>
    <w:rsid w:val="00B1501B"/>
    <w:rsid w:val="00B179B1"/>
    <w:rsid w:val="00B21A57"/>
    <w:rsid w:val="00B22B02"/>
    <w:rsid w:val="00B305D6"/>
    <w:rsid w:val="00B407B2"/>
    <w:rsid w:val="00B50872"/>
    <w:rsid w:val="00B53018"/>
    <w:rsid w:val="00B600D8"/>
    <w:rsid w:val="00B6194B"/>
    <w:rsid w:val="00B72A89"/>
    <w:rsid w:val="00B80ACB"/>
    <w:rsid w:val="00B9628A"/>
    <w:rsid w:val="00BA320E"/>
    <w:rsid w:val="00BA5F3F"/>
    <w:rsid w:val="00BA6878"/>
    <w:rsid w:val="00BA6FC5"/>
    <w:rsid w:val="00BB1DD0"/>
    <w:rsid w:val="00BB1DDD"/>
    <w:rsid w:val="00BB2AA9"/>
    <w:rsid w:val="00BC1DB1"/>
    <w:rsid w:val="00BE4EE8"/>
    <w:rsid w:val="00BE6743"/>
    <w:rsid w:val="00BF5725"/>
    <w:rsid w:val="00C33602"/>
    <w:rsid w:val="00C44184"/>
    <w:rsid w:val="00C502B3"/>
    <w:rsid w:val="00C51FD6"/>
    <w:rsid w:val="00C555F6"/>
    <w:rsid w:val="00C56C74"/>
    <w:rsid w:val="00C57E52"/>
    <w:rsid w:val="00C63DAE"/>
    <w:rsid w:val="00C65FCD"/>
    <w:rsid w:val="00C73896"/>
    <w:rsid w:val="00C753F9"/>
    <w:rsid w:val="00C81C40"/>
    <w:rsid w:val="00C81E56"/>
    <w:rsid w:val="00C841E9"/>
    <w:rsid w:val="00C94FDD"/>
    <w:rsid w:val="00CA1EA3"/>
    <w:rsid w:val="00CB6163"/>
    <w:rsid w:val="00CD187C"/>
    <w:rsid w:val="00CD26E7"/>
    <w:rsid w:val="00CD5595"/>
    <w:rsid w:val="00CD6F55"/>
    <w:rsid w:val="00CD7CE0"/>
    <w:rsid w:val="00CE35AF"/>
    <w:rsid w:val="00CE3A22"/>
    <w:rsid w:val="00CE7385"/>
    <w:rsid w:val="00CF0B27"/>
    <w:rsid w:val="00D00715"/>
    <w:rsid w:val="00D03032"/>
    <w:rsid w:val="00D04BF0"/>
    <w:rsid w:val="00D06FDD"/>
    <w:rsid w:val="00D14A2F"/>
    <w:rsid w:val="00D23016"/>
    <w:rsid w:val="00D303F8"/>
    <w:rsid w:val="00D306D5"/>
    <w:rsid w:val="00D338FF"/>
    <w:rsid w:val="00D346B2"/>
    <w:rsid w:val="00D36D77"/>
    <w:rsid w:val="00D40626"/>
    <w:rsid w:val="00D421A4"/>
    <w:rsid w:val="00D54D8B"/>
    <w:rsid w:val="00DA46BA"/>
    <w:rsid w:val="00DA5E0A"/>
    <w:rsid w:val="00DB5273"/>
    <w:rsid w:val="00DC06AA"/>
    <w:rsid w:val="00DD0B9B"/>
    <w:rsid w:val="00DE3104"/>
    <w:rsid w:val="00DE4B3E"/>
    <w:rsid w:val="00DE6170"/>
    <w:rsid w:val="00DF2AEA"/>
    <w:rsid w:val="00E11B51"/>
    <w:rsid w:val="00E20BD1"/>
    <w:rsid w:val="00E30AAC"/>
    <w:rsid w:val="00E33D68"/>
    <w:rsid w:val="00E35FFF"/>
    <w:rsid w:val="00E42A20"/>
    <w:rsid w:val="00E82D05"/>
    <w:rsid w:val="00E868DA"/>
    <w:rsid w:val="00E908CE"/>
    <w:rsid w:val="00E9132F"/>
    <w:rsid w:val="00E95D97"/>
    <w:rsid w:val="00E97BBB"/>
    <w:rsid w:val="00EA1921"/>
    <w:rsid w:val="00EA1CEF"/>
    <w:rsid w:val="00EA5700"/>
    <w:rsid w:val="00EA7D51"/>
    <w:rsid w:val="00ED095C"/>
    <w:rsid w:val="00ED0C0A"/>
    <w:rsid w:val="00F00003"/>
    <w:rsid w:val="00F03A6D"/>
    <w:rsid w:val="00F046EA"/>
    <w:rsid w:val="00F07B44"/>
    <w:rsid w:val="00F26A2E"/>
    <w:rsid w:val="00F312EA"/>
    <w:rsid w:val="00F35A62"/>
    <w:rsid w:val="00F53C4B"/>
    <w:rsid w:val="00F57312"/>
    <w:rsid w:val="00F72EEA"/>
    <w:rsid w:val="00F7544A"/>
    <w:rsid w:val="00F80C02"/>
    <w:rsid w:val="00F84CAE"/>
    <w:rsid w:val="00F92E04"/>
    <w:rsid w:val="00FA1CF3"/>
    <w:rsid w:val="00FA41DE"/>
    <w:rsid w:val="00FA7260"/>
    <w:rsid w:val="00FA7ADA"/>
    <w:rsid w:val="00FB2957"/>
    <w:rsid w:val="00FC3CC1"/>
    <w:rsid w:val="00FD6E3D"/>
    <w:rsid w:val="00FD6E77"/>
    <w:rsid w:val="00FE4064"/>
    <w:rsid w:val="05C87461"/>
    <w:rsid w:val="06065340"/>
    <w:rsid w:val="0E82C21E"/>
    <w:rsid w:val="11EE50CE"/>
    <w:rsid w:val="12218B5E"/>
    <w:rsid w:val="1A54BF78"/>
    <w:rsid w:val="1BCB1A3B"/>
    <w:rsid w:val="1CE355B2"/>
    <w:rsid w:val="1D378F3A"/>
    <w:rsid w:val="1F6B2E51"/>
    <w:rsid w:val="210D7103"/>
    <w:rsid w:val="22C32C10"/>
    <w:rsid w:val="260730CF"/>
    <w:rsid w:val="28BB4FE1"/>
    <w:rsid w:val="29586947"/>
    <w:rsid w:val="29F72869"/>
    <w:rsid w:val="2BA00574"/>
    <w:rsid w:val="2C15F63C"/>
    <w:rsid w:val="2CD408BA"/>
    <w:rsid w:val="2D1ED5A9"/>
    <w:rsid w:val="324E547A"/>
    <w:rsid w:val="336BCFE1"/>
    <w:rsid w:val="35709E40"/>
    <w:rsid w:val="37FDF139"/>
    <w:rsid w:val="3A514703"/>
    <w:rsid w:val="3BC4F973"/>
    <w:rsid w:val="3C9557A3"/>
    <w:rsid w:val="3D43595E"/>
    <w:rsid w:val="3D9792E6"/>
    <w:rsid w:val="40646274"/>
    <w:rsid w:val="42CDB5E1"/>
    <w:rsid w:val="44A89EF0"/>
    <w:rsid w:val="45464BE7"/>
    <w:rsid w:val="46C055B2"/>
    <w:rsid w:val="52AE5826"/>
    <w:rsid w:val="53910037"/>
    <w:rsid w:val="55A06A81"/>
    <w:rsid w:val="55C5AD4E"/>
    <w:rsid w:val="577D528A"/>
    <w:rsid w:val="590BF931"/>
    <w:rsid w:val="5999405F"/>
    <w:rsid w:val="5AD68D7C"/>
    <w:rsid w:val="5BB385F2"/>
    <w:rsid w:val="5BFE0B8C"/>
    <w:rsid w:val="5F2A0F14"/>
    <w:rsid w:val="5F44576F"/>
    <w:rsid w:val="610EEBBA"/>
    <w:rsid w:val="61337E88"/>
    <w:rsid w:val="64647A36"/>
    <w:rsid w:val="65A64F93"/>
    <w:rsid w:val="6BD950FC"/>
    <w:rsid w:val="6DEC5145"/>
    <w:rsid w:val="6E76F7F9"/>
    <w:rsid w:val="6F24F9B4"/>
    <w:rsid w:val="6F905313"/>
    <w:rsid w:val="7406E327"/>
    <w:rsid w:val="7577AF3F"/>
    <w:rsid w:val="7625B0FA"/>
    <w:rsid w:val="7946BA10"/>
    <w:rsid w:val="7AA59D1B"/>
    <w:rsid w:val="7B369128"/>
    <w:rsid w:val="7CE4CEE3"/>
    <w:rsid w:val="7D1CD4F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DA01E"/>
  <w15:docId w15:val="{2641DBF5-8607-409C-980C-1B85D3FB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Revision">
    <w:name w:val="Revision"/>
    <w:hidden/>
    <w:uiPriority w:val="99"/>
    <w:semiHidden/>
    <w:rsid w:val="009B40CF"/>
    <w:pPr>
      <w:widowControl/>
    </w:pPr>
    <w:rPr>
      <w:rFonts w:ascii="Tw Cen MT" w:eastAsia="Tw Cen MT" w:hAnsi="Tw Cen MT" w:cs="Tw Cen MT"/>
    </w:rPr>
  </w:style>
  <w:style w:type="table" w:styleId="TableGrid">
    <w:name w:val="Table Grid"/>
    <w:basedOn w:val="TableNormal"/>
    <w:uiPriority w:val="59"/>
    <w:rsid w:val="009C7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7E37"/>
    <w:rPr>
      <w:sz w:val="16"/>
      <w:szCs w:val="16"/>
    </w:rPr>
  </w:style>
  <w:style w:type="paragraph" w:styleId="CommentText">
    <w:name w:val="annotation text"/>
    <w:basedOn w:val="Normal"/>
    <w:link w:val="CommentTextChar"/>
    <w:uiPriority w:val="99"/>
    <w:semiHidden/>
    <w:unhideWhenUsed/>
    <w:rsid w:val="005E7E37"/>
    <w:rPr>
      <w:sz w:val="20"/>
      <w:szCs w:val="20"/>
    </w:rPr>
  </w:style>
  <w:style w:type="character" w:customStyle="1" w:styleId="CommentTextChar">
    <w:name w:val="Comment Text Char"/>
    <w:basedOn w:val="DefaultParagraphFont"/>
    <w:link w:val="CommentText"/>
    <w:uiPriority w:val="99"/>
    <w:semiHidden/>
    <w:rsid w:val="005E7E3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E7E37"/>
    <w:rPr>
      <w:b/>
      <w:bCs/>
    </w:rPr>
  </w:style>
  <w:style w:type="character" w:customStyle="1" w:styleId="CommentSubjectChar">
    <w:name w:val="Comment Subject Char"/>
    <w:basedOn w:val="CommentTextChar"/>
    <w:link w:val="CommentSubject"/>
    <w:uiPriority w:val="99"/>
    <w:semiHidden/>
    <w:rsid w:val="005E7E37"/>
    <w:rPr>
      <w:rFonts w:ascii="Tw Cen MT" w:eastAsia="Tw Cen MT" w:hAnsi="Tw Cen MT" w:cs="Tw Cen MT"/>
      <w:b/>
      <w:bCs/>
      <w:sz w:val="20"/>
      <w:szCs w:val="20"/>
    </w:rPr>
  </w:style>
  <w:style w:type="paragraph" w:styleId="Caption">
    <w:name w:val="caption"/>
    <w:basedOn w:val="Normal"/>
    <w:next w:val="Normal"/>
    <w:uiPriority w:val="35"/>
    <w:unhideWhenUsed/>
    <w:qFormat/>
    <w:rsid w:val="006812E9"/>
    <w:pPr>
      <w:spacing w:after="200"/>
    </w:pPr>
    <w:rPr>
      <w:i/>
      <w:iCs/>
      <w:color w:val="1F497D" w:themeColor="text2"/>
      <w:sz w:val="18"/>
      <w:szCs w:val="18"/>
    </w:rPr>
  </w:style>
  <w:style w:type="character" w:customStyle="1" w:styleId="Heading3Char">
    <w:name w:val="Heading 3 Char"/>
    <w:basedOn w:val="DefaultParagraphFont"/>
    <w:link w:val="Heading3"/>
    <w:uiPriority w:val="1"/>
    <w:rsid w:val="006C062B"/>
    <w:rPr>
      <w:rFonts w:ascii="Arial" w:eastAsia="Arial" w:hAnsi="Arial" w:cs="Arial"/>
      <w:b/>
      <w:bCs/>
      <w:sz w:val="20"/>
      <w:szCs w:val="20"/>
    </w:rPr>
  </w:style>
  <w:style w:type="character" w:customStyle="1" w:styleId="normaltextrun">
    <w:name w:val="normaltextrun"/>
    <w:basedOn w:val="DefaultParagraphFont"/>
    <w:rsid w:val="00271CF5"/>
  </w:style>
  <w:style w:type="character" w:styleId="UnresolvedMention">
    <w:name w:val="Unresolved Mention"/>
    <w:basedOn w:val="DefaultParagraphFont"/>
    <w:uiPriority w:val="99"/>
    <w:semiHidden/>
    <w:unhideWhenUsed/>
    <w:rsid w:val="00847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068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www.linkedin.com/in/huilin-wei-91779438"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mailto:huilin.wei@cepheid.com" TargetMode="Externa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0821EEC0B745419C48567AD426DCAF" ma:contentTypeVersion="14" ma:contentTypeDescription="Create a new document." ma:contentTypeScope="" ma:versionID="9440eaa08bf3ce60a2fce2bf11cc3d14">
  <xsd:schema xmlns:xsd="http://www.w3.org/2001/XMLSchema" xmlns:xs="http://www.w3.org/2001/XMLSchema" xmlns:p="http://schemas.microsoft.com/office/2006/metadata/properties" xmlns:ns2="fbf561c4-7ad9-40a2-84f3-bd3148c960e8" xmlns:ns3="5b2ffddb-973a-4226-ac7f-f29cfa2335d4" targetNamespace="http://schemas.microsoft.com/office/2006/metadata/properties" ma:root="true" ma:fieldsID="0bbd45a0025fc648804818e11dc293ff" ns2:_="" ns3:_="">
    <xsd:import namespace="fbf561c4-7ad9-40a2-84f3-bd3148c960e8"/>
    <xsd:import namespace="5b2ffddb-973a-4226-ac7f-f29cfa2335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561c4-7ad9-40a2-84f3-bd3148c96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2ffddb-973a-4226-ac7f-f29cfa2335d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301E9A-EF65-4DF0-A0A3-2F029215A9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D8AB6B-2B25-447D-9E16-39CC28279C51}">
  <ds:schemaRefs>
    <ds:schemaRef ds:uri="http://schemas.microsoft.com/sharepoint/v3/contenttype/forms"/>
  </ds:schemaRefs>
</ds:datastoreItem>
</file>

<file path=customXml/itemProps3.xml><?xml version="1.0" encoding="utf-8"?>
<ds:datastoreItem xmlns:ds="http://schemas.openxmlformats.org/officeDocument/2006/customXml" ds:itemID="{B4B0D7C1-1D40-48FB-A3C4-15C7E83D3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561c4-7ad9-40a2-84f3-bd3148c960e8"/>
    <ds:schemaRef ds:uri="5b2ffddb-973a-4226-ac7f-f29cfa233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Wei, Huilin</cp:lastModifiedBy>
  <cp:revision>9</cp:revision>
  <dcterms:created xsi:type="dcterms:W3CDTF">2023-01-19T19:43:00Z</dcterms:created>
  <dcterms:modified xsi:type="dcterms:W3CDTF">2023-01-19T20:12:00Z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631ef649-45d3-4e5d-80df-d43468de9a5e_Enabled">
    <vt:lpwstr>true</vt:lpwstr>
  </property>
  <property fmtid="{D5CDD505-2E9C-101B-9397-08002B2CF9AE}" pid="6" name="MSIP_Label_631ef649-45d3-4e5d-80df-d43468de9a5e_SetDate">
    <vt:lpwstr>2023-01-13T07:07:14Z</vt:lpwstr>
  </property>
  <property fmtid="{D5CDD505-2E9C-101B-9397-08002B2CF9AE}" pid="7" name="MSIP_Label_631ef649-45d3-4e5d-80df-d43468de9a5e_Method">
    <vt:lpwstr>Privileged</vt:lpwstr>
  </property>
  <property fmtid="{D5CDD505-2E9C-101B-9397-08002B2CF9AE}" pid="8" name="MSIP_Label_631ef649-45d3-4e5d-80df-d43468de9a5e_Name">
    <vt:lpwstr>Unclassified</vt:lpwstr>
  </property>
  <property fmtid="{D5CDD505-2E9C-101B-9397-08002B2CF9AE}" pid="9" name="MSIP_Label_631ef649-45d3-4e5d-80df-d43468de9a5e_SiteId">
    <vt:lpwstr>771c9c47-7f24-44dc-958e-34f8713a8394</vt:lpwstr>
  </property>
  <property fmtid="{D5CDD505-2E9C-101B-9397-08002B2CF9AE}" pid="10" name="MSIP_Label_631ef649-45d3-4e5d-80df-d43468de9a5e_ActionId">
    <vt:lpwstr>108f7cdd-8863-4de9-a361-f1120ea595e9</vt:lpwstr>
  </property>
  <property fmtid="{D5CDD505-2E9C-101B-9397-08002B2CF9AE}" pid="11" name="MSIP_Label_631ef649-45d3-4e5d-80df-d43468de9a5e_ContentBits">
    <vt:lpwstr>0</vt:lpwstr>
  </property>
  <property fmtid="{D5CDD505-2E9C-101B-9397-08002B2CF9AE}" pid="12" name="ContentTypeId">
    <vt:lpwstr>0x010100A20821EEC0B745419C48567AD426DCAF</vt:lpwstr>
  </property>
</Properties>
</file>