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845B14" w14:textId="2152F619" w:rsidR="00AE3E37" w:rsidRDefault="00DB7B90" w:rsidP="000534A1">
      <w:pPr>
        <w:pStyle w:val="Heading1"/>
        <w:spacing w:before="170"/>
        <w:ind w:left="0"/>
        <w:jc w:val="both"/>
      </w:pPr>
      <w:r>
        <w:rPr>
          <w:color w:val="337AB7"/>
        </w:rPr>
        <w:t>The adaptation model of Immunity and outcomes of immune responses</w:t>
      </w:r>
    </w:p>
    <w:p w14:paraId="33A6DF90" w14:textId="304EB3F6" w:rsidR="005973B9" w:rsidRDefault="00DB7B90" w:rsidP="005973B9">
      <w:pPr>
        <w:pStyle w:val="BodyText"/>
        <w:spacing w:before="73" w:line="198" w:lineRule="exact"/>
        <w:ind w:left="100" w:right="5987"/>
        <w:rPr>
          <w:rFonts w:ascii="Arial"/>
        </w:rPr>
      </w:pPr>
      <w:bookmarkStart w:id="0" w:name="_GoBack"/>
      <w:r>
        <w:rPr>
          <w:rFonts w:ascii="Arial"/>
        </w:rPr>
        <w:t xml:space="preserve">Masoud H. </w:t>
      </w:r>
      <w:proofErr w:type="spellStart"/>
      <w:r>
        <w:rPr>
          <w:rFonts w:ascii="Arial"/>
        </w:rPr>
        <w:t>Manjili</w:t>
      </w:r>
      <w:bookmarkEnd w:id="0"/>
      <w:proofErr w:type="spellEnd"/>
      <w:r>
        <w:rPr>
          <w:rFonts w:ascii="Arial"/>
        </w:rPr>
        <w:t>, DVM, PhD, VCU Massey Cancer Center, USA</w:t>
      </w:r>
    </w:p>
    <w:p w14:paraId="23DB743A" w14:textId="6F1F85D4" w:rsidR="00AE3E37" w:rsidRDefault="00217A79">
      <w:pPr>
        <w:pStyle w:val="BodyText"/>
        <w:rPr>
          <w:rFonts w:ascii="Arial"/>
          <w:sz w:val="20"/>
        </w:rPr>
      </w:pPr>
      <w:r w:rsidRPr="00217A79">
        <w:rPr>
          <w:rFonts w:ascii="Arial"/>
          <w:b/>
          <w:noProof/>
          <w:color w:val="BF5A14"/>
          <w:sz w:val="20"/>
          <w:lang w:val="en-IN" w:eastAsia="en-IN"/>
        </w:rPr>
        <w:drawing>
          <wp:anchor distT="0" distB="0" distL="114300" distR="114300" simplePos="0" relativeHeight="251654144" behindDoc="0" locked="0" layoutInCell="1" allowOverlap="1" wp14:anchorId="611D1C29" wp14:editId="168EED56">
            <wp:simplePos x="0" y="0"/>
            <wp:positionH relativeFrom="column">
              <wp:posOffset>4152861</wp:posOffset>
            </wp:positionH>
            <wp:positionV relativeFrom="paragraph">
              <wp:posOffset>257992</wp:posOffset>
            </wp:positionV>
            <wp:extent cx="1991360" cy="1455420"/>
            <wp:effectExtent l="0" t="0" r="2540" b="5080"/>
            <wp:wrapSquare wrapText="bothSides"/>
            <wp:docPr id="6" name="Picture 5" descr="Diagram&#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92D6F2-E8EB-0060-7ADE-956D419A4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Diagram&#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92D6F2-E8EB-0060-7ADE-956D419A407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1360" cy="1455420"/>
                    </a:xfrm>
                    <a:prstGeom prst="rect">
                      <a:avLst/>
                    </a:prstGeom>
                  </pic:spPr>
                </pic:pic>
              </a:graphicData>
            </a:graphic>
            <wp14:sizeRelH relativeFrom="margin">
              <wp14:pctWidth>0</wp14:pctWidth>
            </wp14:sizeRelH>
            <wp14:sizeRelV relativeFrom="margin">
              <wp14:pctHeight>0</wp14:pctHeight>
            </wp14:sizeRelV>
          </wp:anchor>
        </w:drawing>
      </w:r>
    </w:p>
    <w:p w14:paraId="3506918A" w14:textId="77777777"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14:paraId="580A2503" w14:textId="21BC206B" w:rsidR="00AE3E37" w:rsidRDefault="00A9710C" w:rsidP="00DB7B90">
      <w:pPr>
        <w:pStyle w:val="Heading3"/>
        <w:spacing w:before="147"/>
        <w:ind w:left="0"/>
        <w:jc w:val="both"/>
      </w:pPr>
      <w:r>
        <w:rPr>
          <w:color w:val="BF5A14"/>
        </w:rPr>
        <w:lastRenderedPageBreak/>
        <w:t>Abstract</w:t>
      </w:r>
      <w:r w:rsidR="00404E5B">
        <w:rPr>
          <w:color w:val="BF5A14"/>
        </w:rPr>
        <w:t xml:space="preserve"> </w:t>
      </w:r>
    </w:p>
    <w:p w14:paraId="310FBAAB" w14:textId="0CC61BE3" w:rsidR="00DB7B90" w:rsidRPr="00DB7B90" w:rsidRDefault="00DB7B90" w:rsidP="00DB7B90">
      <w:pPr>
        <w:jc w:val="both"/>
        <w:rPr>
          <w:rFonts w:ascii="Times" w:hAnsi="Times"/>
          <w:color w:val="000000"/>
          <w:sz w:val="20"/>
          <w:szCs w:val="20"/>
          <w:shd w:val="clear" w:color="auto" w:fill="FFFFFF"/>
        </w:rPr>
      </w:pPr>
      <w:r w:rsidRPr="00DB7B90">
        <w:rPr>
          <w:rFonts w:ascii="Times" w:hAnsi="Times"/>
          <w:color w:val="000000"/>
          <w:sz w:val="20"/>
          <w:szCs w:val="20"/>
          <w:shd w:val="clear" w:color="auto" w:fill="FFFFFF"/>
        </w:rPr>
        <w:t>The self-</w:t>
      </w:r>
      <w:proofErr w:type="spellStart"/>
      <w:r w:rsidRPr="00DB7B90">
        <w:rPr>
          <w:rFonts w:ascii="Times" w:hAnsi="Times"/>
          <w:color w:val="000000"/>
          <w:sz w:val="20"/>
          <w:szCs w:val="20"/>
          <w:shd w:val="clear" w:color="auto" w:fill="FFFFFF"/>
        </w:rPr>
        <w:t>nonself</w:t>
      </w:r>
      <w:proofErr w:type="spellEnd"/>
      <w:r w:rsidRPr="00DB7B90">
        <w:rPr>
          <w:rFonts w:ascii="Times" w:hAnsi="Times"/>
          <w:color w:val="000000"/>
          <w:sz w:val="20"/>
          <w:szCs w:val="20"/>
          <w:shd w:val="clear" w:color="auto" w:fill="FFFFFF"/>
        </w:rPr>
        <w:t xml:space="preserve"> (SNS) model of immunity suggests that foreign antigens induce alloreactive immune responses, resulting in graft rejection whereas tolerance towards self-antigens expressed by malignant cells facilitates cancer development. Also, breakage of immunological tolerance towards self-antigens results in autoimmune diseases. Accordingly, immune suppression is recommended for the management of autoimmune diseases, allergy, and organ transplantation while immune inducers are used for the treatment of cancers. Nevertheless, a cure for immune-related diseases remains elusive. This is in large part due to applying the SNS model in the areas that are beyond its realm. Here, I discuss the adaptation model of immunity to explain the decision-making process by activated T cells. According to this model, all somatic cells express adaptation receptors (</w:t>
      </w:r>
      <w:proofErr w:type="spellStart"/>
      <w:r w:rsidRPr="00DB7B90">
        <w:rPr>
          <w:rFonts w:ascii="Times" w:hAnsi="Times"/>
          <w:color w:val="000000"/>
          <w:sz w:val="20"/>
          <w:szCs w:val="20"/>
          <w:shd w:val="clear" w:color="auto" w:fill="FFFFFF"/>
        </w:rPr>
        <w:t>AdRs</w:t>
      </w:r>
      <w:proofErr w:type="spellEnd"/>
      <w:r w:rsidRPr="00DB7B90">
        <w:rPr>
          <w:rFonts w:ascii="Times" w:hAnsi="Times"/>
          <w:color w:val="000000"/>
          <w:sz w:val="20"/>
          <w:szCs w:val="20"/>
          <w:shd w:val="clear" w:color="auto" w:fill="FFFFFF"/>
        </w:rPr>
        <w:t>) to tolerate ongoing immune responses by engaging with their nominal adaptation ligands (</w:t>
      </w:r>
      <w:proofErr w:type="spellStart"/>
      <w:r w:rsidRPr="00DB7B90">
        <w:rPr>
          <w:rFonts w:ascii="Times" w:hAnsi="Times"/>
          <w:color w:val="000000"/>
          <w:sz w:val="20"/>
          <w:szCs w:val="20"/>
          <w:shd w:val="clear" w:color="auto" w:fill="FFFFFF"/>
        </w:rPr>
        <w:t>AdLs</w:t>
      </w:r>
      <w:proofErr w:type="spellEnd"/>
      <w:r w:rsidRPr="00DB7B90">
        <w:rPr>
          <w:rFonts w:ascii="Times" w:hAnsi="Times"/>
          <w:color w:val="000000"/>
          <w:sz w:val="20"/>
          <w:szCs w:val="20"/>
          <w:shd w:val="clear" w:color="auto" w:fill="FFFFFF"/>
        </w:rPr>
        <w:t xml:space="preserve">) expressed on activated T cells. The </w:t>
      </w:r>
      <w:proofErr w:type="spellStart"/>
      <w:r w:rsidRPr="00DB7B90">
        <w:rPr>
          <w:rFonts w:ascii="Times" w:hAnsi="Times"/>
          <w:color w:val="000000"/>
          <w:sz w:val="20"/>
          <w:szCs w:val="20"/>
          <w:shd w:val="clear" w:color="auto" w:fill="FFFFFF"/>
        </w:rPr>
        <w:t>AdR</w:t>
      </w:r>
      <w:proofErr w:type="spellEnd"/>
      <w:r w:rsidRPr="00DB7B90">
        <w:rPr>
          <w:rFonts w:ascii="Times" w:hAnsi="Times"/>
          <w:color w:val="000000"/>
          <w:sz w:val="20"/>
          <w:szCs w:val="20"/>
          <w:shd w:val="clear" w:color="auto" w:fill="FFFFFF"/>
        </w:rPr>
        <w:t>/</w:t>
      </w:r>
      <w:proofErr w:type="spellStart"/>
      <w:r w:rsidRPr="00DB7B90">
        <w:rPr>
          <w:rFonts w:ascii="Times" w:hAnsi="Times"/>
          <w:color w:val="000000"/>
          <w:sz w:val="20"/>
          <w:szCs w:val="20"/>
          <w:shd w:val="clear" w:color="auto" w:fill="FFFFFF"/>
        </w:rPr>
        <w:t>AdL</w:t>
      </w:r>
      <w:proofErr w:type="spellEnd"/>
      <w:r w:rsidRPr="00DB7B90">
        <w:rPr>
          <w:rFonts w:ascii="Times" w:hAnsi="Times"/>
          <w:color w:val="000000"/>
          <w:sz w:val="20"/>
          <w:szCs w:val="20"/>
          <w:shd w:val="clear" w:color="auto" w:fill="FFFFFF"/>
        </w:rPr>
        <w:t xml:space="preserve"> axis establishes signal IV for orchestrating the primary function of the immune response, which is to support cellular integrity and homeostasis. </w:t>
      </w:r>
      <w:proofErr w:type="gramStart"/>
      <w:r w:rsidRPr="00DB7B90">
        <w:rPr>
          <w:rFonts w:ascii="Times" w:hAnsi="Times"/>
          <w:color w:val="000000"/>
          <w:sz w:val="20"/>
          <w:szCs w:val="20"/>
          <w:shd w:val="clear" w:color="auto" w:fill="FFFFFF"/>
        </w:rPr>
        <w:t xml:space="preserve">Any loss or alterations in the expression of tissue-specific </w:t>
      </w:r>
      <w:proofErr w:type="spellStart"/>
      <w:r w:rsidRPr="00DB7B90">
        <w:rPr>
          <w:rFonts w:ascii="Times" w:hAnsi="Times"/>
          <w:color w:val="000000"/>
          <w:sz w:val="20"/>
          <w:szCs w:val="20"/>
          <w:shd w:val="clear" w:color="auto" w:fill="FFFFFF"/>
        </w:rPr>
        <w:t>AdRs</w:t>
      </w:r>
      <w:proofErr w:type="spellEnd"/>
      <w:r w:rsidRPr="00DB7B90">
        <w:rPr>
          <w:rFonts w:ascii="Times" w:hAnsi="Times"/>
          <w:color w:val="000000"/>
          <w:sz w:val="20"/>
          <w:szCs w:val="20"/>
          <w:shd w:val="clear" w:color="auto" w:fill="FFFFFF"/>
        </w:rPr>
        <w:t xml:space="preserve"> results in immune intolerance or autoimmune diseases as well as graft rejection</w:t>
      </w:r>
      <w:r w:rsidR="00217A79">
        <w:rPr>
          <w:rFonts w:ascii="Times" w:hAnsi="Times"/>
          <w:color w:val="000000"/>
          <w:sz w:val="20"/>
          <w:szCs w:val="20"/>
          <w:shd w:val="clear" w:color="auto" w:fill="FFFFFF"/>
        </w:rPr>
        <w:t xml:space="preserve"> (Figure 1)</w:t>
      </w:r>
      <w:r w:rsidRPr="00DB7B90">
        <w:rPr>
          <w:rFonts w:ascii="Times" w:hAnsi="Times"/>
          <w:color w:val="000000"/>
          <w:sz w:val="20"/>
          <w:szCs w:val="20"/>
          <w:shd w:val="clear" w:color="auto" w:fill="FFFFFF"/>
        </w:rPr>
        <w:t>.</w:t>
      </w:r>
      <w:proofErr w:type="gramEnd"/>
      <w:r w:rsidRPr="00DB7B90">
        <w:rPr>
          <w:rFonts w:ascii="Times" w:hAnsi="Times"/>
          <w:color w:val="000000"/>
          <w:sz w:val="20"/>
          <w:szCs w:val="20"/>
          <w:shd w:val="clear" w:color="auto" w:fill="FFFFFF"/>
        </w:rPr>
        <w:t xml:space="preserve"> Upregulation or </w:t>
      </w:r>
      <w:proofErr w:type="spellStart"/>
      <w:r w:rsidRPr="00DB7B90">
        <w:rPr>
          <w:rFonts w:ascii="Times" w:hAnsi="Times"/>
          <w:color w:val="000000"/>
          <w:sz w:val="20"/>
          <w:szCs w:val="20"/>
          <w:shd w:val="clear" w:color="auto" w:fill="FFFFFF"/>
        </w:rPr>
        <w:t>downregulation</w:t>
      </w:r>
      <w:proofErr w:type="spellEnd"/>
      <w:r w:rsidRPr="00DB7B90">
        <w:rPr>
          <w:rFonts w:ascii="Times" w:hAnsi="Times"/>
          <w:color w:val="000000"/>
          <w:sz w:val="20"/>
          <w:szCs w:val="20"/>
          <w:shd w:val="clear" w:color="auto" w:fill="FFFFFF"/>
        </w:rPr>
        <w:t xml:space="preserve"> of the </w:t>
      </w:r>
      <w:proofErr w:type="spellStart"/>
      <w:r w:rsidRPr="00DB7B90">
        <w:rPr>
          <w:rFonts w:ascii="Times" w:hAnsi="Times"/>
          <w:color w:val="000000"/>
          <w:sz w:val="20"/>
          <w:szCs w:val="20"/>
          <w:shd w:val="clear" w:color="auto" w:fill="FFFFFF"/>
        </w:rPr>
        <w:t>AdRs</w:t>
      </w:r>
      <w:proofErr w:type="spellEnd"/>
      <w:r w:rsidRPr="00DB7B90">
        <w:rPr>
          <w:rFonts w:ascii="Times" w:hAnsi="Times"/>
          <w:color w:val="000000"/>
          <w:sz w:val="20"/>
          <w:szCs w:val="20"/>
          <w:shd w:val="clear" w:color="auto" w:fill="FFFFFF"/>
        </w:rPr>
        <w:t xml:space="preserve"> by tumor cells could also dictate the outcomes of tumor-reactive immune responses. Therefore, novel therapeutics should focus on the discovery and targeting of the </w:t>
      </w:r>
      <w:proofErr w:type="spellStart"/>
      <w:r w:rsidRPr="00DB7B90">
        <w:rPr>
          <w:rFonts w:ascii="Times" w:hAnsi="Times"/>
          <w:color w:val="000000"/>
          <w:sz w:val="20"/>
          <w:szCs w:val="20"/>
          <w:shd w:val="clear" w:color="auto" w:fill="FFFFFF"/>
        </w:rPr>
        <w:t>AdRs</w:t>
      </w:r>
      <w:proofErr w:type="spellEnd"/>
      <w:r w:rsidRPr="00DB7B90">
        <w:rPr>
          <w:rFonts w:ascii="Times" w:hAnsi="Times"/>
          <w:color w:val="000000"/>
          <w:sz w:val="20"/>
          <w:szCs w:val="20"/>
          <w:shd w:val="clear" w:color="auto" w:fill="FFFFFF"/>
        </w:rPr>
        <w:t xml:space="preserve"> for the treatment of immune-related diseases and cancer.</w:t>
      </w:r>
    </w:p>
    <w:p w14:paraId="2124DEAB" w14:textId="77777777" w:rsidR="00AE3E37" w:rsidRDefault="00A9710C">
      <w:pPr>
        <w:pStyle w:val="Heading3"/>
        <w:spacing w:before="74"/>
      </w:pPr>
      <w:r>
        <w:rPr>
          <w:b w:val="0"/>
        </w:rPr>
        <w:br w:type="column"/>
      </w:r>
      <w:r>
        <w:rPr>
          <w:color w:val="BF5A14"/>
        </w:rPr>
        <w:lastRenderedPageBreak/>
        <w:t>Image</w:t>
      </w:r>
    </w:p>
    <w:p w14:paraId="1E7F1147" w14:textId="7270DEC8" w:rsidR="00AE3E37" w:rsidRDefault="00AE3E37">
      <w:pPr>
        <w:pStyle w:val="BodyText"/>
        <w:spacing w:before="2"/>
        <w:rPr>
          <w:rFonts w:ascii="Arial"/>
          <w:b/>
          <w:sz w:val="16"/>
        </w:rPr>
      </w:pPr>
    </w:p>
    <w:p w14:paraId="21A586A4" w14:textId="2FD2C9F2" w:rsidR="00217A79" w:rsidRDefault="005973B9" w:rsidP="005973B9">
      <w:pPr>
        <w:spacing w:line="204" w:lineRule="exact"/>
        <w:rPr>
          <w:rFonts w:ascii="Arial"/>
          <w:b/>
          <w:color w:val="BF5A14"/>
          <w:sz w:val="20"/>
        </w:rPr>
      </w:pPr>
      <w:r>
        <w:rPr>
          <w:rFonts w:ascii="Arial"/>
          <w:b/>
          <w:color w:val="BF5A14"/>
          <w:sz w:val="20"/>
        </w:rPr>
        <w:br/>
      </w:r>
    </w:p>
    <w:p w14:paraId="196107C0" w14:textId="77777777" w:rsidR="00217A79" w:rsidRDefault="00217A79" w:rsidP="005973B9">
      <w:pPr>
        <w:spacing w:line="204" w:lineRule="exact"/>
        <w:rPr>
          <w:rFonts w:ascii="Arial"/>
          <w:b/>
          <w:color w:val="BF5A14"/>
          <w:sz w:val="20"/>
        </w:rPr>
      </w:pPr>
    </w:p>
    <w:p w14:paraId="6D3EAB28" w14:textId="77777777" w:rsidR="00217A79" w:rsidRDefault="00217A79" w:rsidP="005973B9">
      <w:pPr>
        <w:spacing w:line="204" w:lineRule="exact"/>
        <w:rPr>
          <w:rFonts w:ascii="Arial"/>
          <w:b/>
          <w:color w:val="BF5A14"/>
          <w:sz w:val="20"/>
        </w:rPr>
      </w:pPr>
    </w:p>
    <w:p w14:paraId="60FD3537" w14:textId="77777777" w:rsidR="00217A79" w:rsidRDefault="00217A79" w:rsidP="005973B9">
      <w:pPr>
        <w:spacing w:line="204" w:lineRule="exact"/>
        <w:rPr>
          <w:rFonts w:ascii="Arial"/>
          <w:b/>
          <w:color w:val="BF5A14"/>
          <w:sz w:val="20"/>
        </w:rPr>
      </w:pPr>
    </w:p>
    <w:p w14:paraId="35885DF4" w14:textId="77777777" w:rsidR="00217A79" w:rsidRDefault="00217A79" w:rsidP="005973B9">
      <w:pPr>
        <w:spacing w:line="204" w:lineRule="exact"/>
        <w:rPr>
          <w:rFonts w:ascii="Arial"/>
          <w:b/>
          <w:color w:val="BF5A14"/>
          <w:sz w:val="20"/>
        </w:rPr>
      </w:pPr>
    </w:p>
    <w:p w14:paraId="67949DDB" w14:textId="77777777" w:rsidR="00217A79" w:rsidRDefault="00217A79" w:rsidP="005973B9">
      <w:pPr>
        <w:spacing w:line="204" w:lineRule="exact"/>
        <w:rPr>
          <w:rFonts w:ascii="Arial"/>
          <w:b/>
          <w:color w:val="BF5A14"/>
          <w:sz w:val="20"/>
        </w:rPr>
      </w:pPr>
    </w:p>
    <w:p w14:paraId="7495D1B8" w14:textId="77777777" w:rsidR="00217A79" w:rsidRDefault="00217A79" w:rsidP="005973B9">
      <w:pPr>
        <w:spacing w:line="204" w:lineRule="exact"/>
        <w:rPr>
          <w:rFonts w:ascii="Arial"/>
          <w:b/>
          <w:color w:val="BF5A14"/>
          <w:sz w:val="20"/>
        </w:rPr>
      </w:pPr>
    </w:p>
    <w:p w14:paraId="1047783C" w14:textId="77777777" w:rsidR="00217A79" w:rsidRDefault="00217A79" w:rsidP="005973B9">
      <w:pPr>
        <w:spacing w:line="204" w:lineRule="exact"/>
        <w:rPr>
          <w:rFonts w:ascii="Arial"/>
          <w:b/>
          <w:color w:val="BF5A14"/>
          <w:sz w:val="20"/>
        </w:rPr>
      </w:pPr>
    </w:p>
    <w:p w14:paraId="3D333CC4" w14:textId="77777777" w:rsidR="00217A79" w:rsidRDefault="00217A79" w:rsidP="005973B9">
      <w:pPr>
        <w:spacing w:line="204" w:lineRule="exact"/>
        <w:rPr>
          <w:rFonts w:ascii="Arial"/>
          <w:b/>
          <w:color w:val="BF5A14"/>
          <w:sz w:val="20"/>
        </w:rPr>
      </w:pPr>
    </w:p>
    <w:p w14:paraId="63725C61" w14:textId="3F9EA456" w:rsidR="00217A79" w:rsidRDefault="00217A79" w:rsidP="005973B9">
      <w:pPr>
        <w:spacing w:line="204" w:lineRule="exact"/>
        <w:rPr>
          <w:rFonts w:ascii="Arial"/>
          <w:b/>
          <w:color w:val="BF5A14"/>
          <w:sz w:val="20"/>
        </w:rPr>
      </w:pPr>
      <w:r w:rsidRPr="00217A79">
        <w:rPr>
          <w:rFonts w:ascii="Arial"/>
          <w:b/>
          <w:noProof/>
          <w:color w:val="BF5A14"/>
          <w:sz w:val="20"/>
          <w:lang w:val="en-IN" w:eastAsia="en-IN"/>
        </w:rPr>
        <mc:AlternateContent>
          <mc:Choice Requires="wps">
            <w:drawing>
              <wp:anchor distT="0" distB="0" distL="114300" distR="114300" simplePos="0" relativeHeight="251664384" behindDoc="0" locked="0" layoutInCell="1" allowOverlap="1" wp14:anchorId="2E67142E" wp14:editId="594B5818">
                <wp:simplePos x="0" y="0"/>
                <wp:positionH relativeFrom="column">
                  <wp:posOffset>294588</wp:posOffset>
                </wp:positionH>
                <wp:positionV relativeFrom="paragraph">
                  <wp:posOffset>90844</wp:posOffset>
                </wp:positionV>
                <wp:extent cx="2904931" cy="1061829"/>
                <wp:effectExtent l="0" t="0" r="0" b="0"/>
                <wp:wrapNone/>
                <wp:docPr id="10" name="TextBox 4"/>
                <wp:cNvGraphicFramePr/>
                <a:graphic xmlns:a="http://schemas.openxmlformats.org/drawingml/2006/main">
                  <a:graphicData uri="http://schemas.microsoft.com/office/word/2010/wordprocessingShape">
                    <wps:wsp>
                      <wps:cNvSpPr txBox="1"/>
                      <wps:spPr>
                        <a:xfrm>
                          <a:off x="0" y="0"/>
                          <a:ext cx="2904931" cy="1061829"/>
                        </a:xfrm>
                        <a:prstGeom prst="rect">
                          <a:avLst/>
                        </a:prstGeom>
                        <a:noFill/>
                      </wps:spPr>
                      <wps:txbx>
                        <w:txbxContent>
                          <w:p w14:paraId="32233C1F" w14:textId="77777777" w:rsidR="00217A79" w:rsidRDefault="00217A79" w:rsidP="00217A79">
                            <w:pPr>
                              <w:jc w:val="both"/>
                              <w:rPr>
                                <w:rFonts w:eastAsia="Times New Roman" w:cstheme="minorBidi"/>
                                <w:color w:val="000000"/>
                                <w:kern w:val="24"/>
                                <w:sz w:val="18"/>
                                <w:szCs w:val="18"/>
                              </w:rPr>
                            </w:pPr>
                            <w:r>
                              <w:rPr>
                                <w:rFonts w:eastAsia="Times New Roman" w:cstheme="minorBidi"/>
                                <w:color w:val="000000"/>
                                <w:kern w:val="24"/>
                                <w:sz w:val="18"/>
                                <w:szCs w:val="18"/>
                              </w:rPr>
                              <w:t>Figure 1.</w:t>
                            </w:r>
                            <w:r>
                              <w:rPr>
                                <w:rFonts w:eastAsia="Times New Roman" w:cstheme="minorBidi"/>
                                <w:b/>
                                <w:bCs/>
                                <w:color w:val="000000"/>
                                <w:kern w:val="24"/>
                                <w:sz w:val="18"/>
                                <w:szCs w:val="18"/>
                              </w:rPr>
                              <w:t xml:space="preserve"> </w:t>
                            </w:r>
                            <w:r>
                              <w:rPr>
                                <w:rFonts w:eastAsia="Times New Roman" w:cstheme="minorBidi"/>
                                <w:color w:val="000000"/>
                                <w:kern w:val="24"/>
                                <w:sz w:val="18"/>
                                <w:szCs w:val="18"/>
                              </w:rPr>
                              <w:t xml:space="preserve">The </w:t>
                            </w:r>
                            <w:proofErr w:type="spellStart"/>
                            <w:r>
                              <w:rPr>
                                <w:rFonts w:eastAsia="Times New Roman" w:cstheme="minorBidi"/>
                                <w:color w:val="000000"/>
                                <w:kern w:val="24"/>
                                <w:sz w:val="18"/>
                                <w:szCs w:val="18"/>
                              </w:rPr>
                              <w:t>AdRs</w:t>
                            </w:r>
                            <w:proofErr w:type="spellEnd"/>
                            <w:r>
                              <w:rPr>
                                <w:rFonts w:eastAsia="Times New Roman" w:cstheme="minorBidi"/>
                                <w:color w:val="000000"/>
                                <w:kern w:val="24"/>
                                <w:sz w:val="18"/>
                                <w:szCs w:val="18"/>
                              </w:rPr>
                              <w:t>/</w:t>
                            </w:r>
                            <w:proofErr w:type="spellStart"/>
                            <w:r>
                              <w:rPr>
                                <w:rFonts w:eastAsia="Times New Roman" w:cstheme="minorBidi"/>
                                <w:color w:val="000000"/>
                                <w:kern w:val="24"/>
                                <w:sz w:val="18"/>
                                <w:szCs w:val="18"/>
                              </w:rPr>
                              <w:t>AdLs</w:t>
                            </w:r>
                            <w:proofErr w:type="spellEnd"/>
                            <w:r>
                              <w:rPr>
                                <w:rFonts w:eastAsia="Times New Roman" w:cstheme="minorBidi"/>
                                <w:color w:val="000000"/>
                                <w:kern w:val="24"/>
                                <w:sz w:val="18"/>
                                <w:szCs w:val="18"/>
                              </w:rPr>
                              <w:t xml:space="preserve"> could exist in a single receptor form (left panel) and dual receptor manner interacting with the same ligand where balance between </w:t>
                            </w:r>
                            <w:proofErr w:type="spellStart"/>
                            <w:r>
                              <w:rPr>
                                <w:rFonts w:eastAsia="Times New Roman" w:cstheme="minorBidi"/>
                                <w:color w:val="000000"/>
                                <w:kern w:val="24"/>
                                <w:sz w:val="18"/>
                                <w:szCs w:val="18"/>
                              </w:rPr>
                              <w:t>AdRs</w:t>
                            </w:r>
                            <w:proofErr w:type="spellEnd"/>
                            <w:r>
                              <w:rPr>
                                <w:rFonts w:eastAsia="Times New Roman" w:cstheme="minorBidi"/>
                                <w:color w:val="000000"/>
                                <w:kern w:val="24"/>
                                <w:sz w:val="18"/>
                                <w:szCs w:val="18"/>
                              </w:rPr>
                              <w:t xml:space="preserve"> (TNFR2) and its opposing counterpart (TNFR1) (right panel). </w:t>
                            </w:r>
                          </w:p>
                        </w:txbxContent>
                      </wps:txbx>
                      <wps:bodyPr wrap="square">
                        <a:sp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67142E" id="_x0000_t202" coordsize="21600,21600" o:spt="202" path="m,l,21600r21600,l21600,xe">
                <v:stroke joinstyle="miter"/>
                <v:path gradientshapeok="t" o:connecttype="rect"/>
              </v:shapetype>
              <v:shape id="TextBox 4" o:spid="_x0000_s1026" type="#_x0000_t202" style="position:absolute;margin-left:23.2pt;margin-top:7.15pt;width:228.75pt;height:83.6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" filled="f" stroked="f">
                <v:textbox style="mso-fit-shape-to-text:t">
                  <w:txbxContent>
                    <w:p w14:paraId="32233C1F" w14:textId="77777777" w:rsidR="00217A79" w:rsidRDefault="00217A79" w:rsidP="00217A79">
                      <w:pPr>
                        <w:jc w:val="both"/>
                        <w:rPr>
                          <w:rFonts w:eastAsia="Times New Roman" w:cstheme="minorBidi"/>
                          <w:color w:val="000000"/>
                          <w:kern w:val="24"/>
                          <w:sz w:val="18"/>
                          <w:szCs w:val="18"/>
                        </w:rPr>
                      </w:pPr>
                      <w:r>
                        <w:rPr>
                          <w:rFonts w:eastAsia="Times New Roman" w:cstheme="minorBidi"/>
                          <w:color w:val="000000"/>
                          <w:kern w:val="24"/>
                          <w:sz w:val="18"/>
                          <w:szCs w:val="18"/>
                        </w:rPr>
                        <w:t>Figure 1.</w:t>
                      </w:r>
                      <w:r>
                        <w:rPr>
                          <w:rFonts w:eastAsia="Times New Roman" w:cstheme="minorBidi"/>
                          <w:b/>
                          <w:bCs/>
                          <w:color w:val="000000"/>
                          <w:kern w:val="24"/>
                          <w:sz w:val="18"/>
                          <w:szCs w:val="18"/>
                        </w:rPr>
                        <w:t xml:space="preserve"> </w:t>
                      </w:r>
                      <w:r>
                        <w:rPr>
                          <w:rFonts w:eastAsia="Times New Roman" w:cstheme="minorBidi"/>
                          <w:color w:val="000000"/>
                          <w:kern w:val="24"/>
                          <w:sz w:val="18"/>
                          <w:szCs w:val="18"/>
                        </w:rPr>
                        <w:t xml:space="preserve">The </w:t>
                      </w:r>
                      <w:proofErr w:type="spellStart"/>
                      <w:r>
                        <w:rPr>
                          <w:rFonts w:eastAsia="Times New Roman" w:cstheme="minorBidi"/>
                          <w:color w:val="000000"/>
                          <w:kern w:val="24"/>
                          <w:sz w:val="18"/>
                          <w:szCs w:val="18"/>
                        </w:rPr>
                        <w:t>AdRs</w:t>
                      </w:r>
                      <w:proofErr w:type="spellEnd"/>
                      <w:r>
                        <w:rPr>
                          <w:rFonts w:eastAsia="Times New Roman" w:cstheme="minorBidi"/>
                          <w:color w:val="000000"/>
                          <w:kern w:val="24"/>
                          <w:sz w:val="18"/>
                          <w:szCs w:val="18"/>
                        </w:rPr>
                        <w:t>/</w:t>
                      </w:r>
                      <w:proofErr w:type="spellStart"/>
                      <w:r>
                        <w:rPr>
                          <w:rFonts w:eastAsia="Times New Roman" w:cstheme="minorBidi"/>
                          <w:color w:val="000000"/>
                          <w:kern w:val="24"/>
                          <w:sz w:val="18"/>
                          <w:szCs w:val="18"/>
                        </w:rPr>
                        <w:t>AdLs</w:t>
                      </w:r>
                      <w:proofErr w:type="spellEnd"/>
                      <w:r>
                        <w:rPr>
                          <w:rFonts w:eastAsia="Times New Roman" w:cstheme="minorBidi"/>
                          <w:color w:val="000000"/>
                          <w:kern w:val="24"/>
                          <w:sz w:val="18"/>
                          <w:szCs w:val="18"/>
                        </w:rPr>
                        <w:t xml:space="preserve"> could exist in a single receptor form (left panel) and dual receptor manner interacting with the same ligand where balance between </w:t>
                      </w:r>
                      <w:proofErr w:type="spellStart"/>
                      <w:r>
                        <w:rPr>
                          <w:rFonts w:eastAsia="Times New Roman" w:cstheme="minorBidi"/>
                          <w:color w:val="000000"/>
                          <w:kern w:val="24"/>
                          <w:sz w:val="18"/>
                          <w:szCs w:val="18"/>
                        </w:rPr>
                        <w:t>AdRs</w:t>
                      </w:r>
                      <w:proofErr w:type="spellEnd"/>
                      <w:r>
                        <w:rPr>
                          <w:rFonts w:eastAsia="Times New Roman" w:cstheme="minorBidi"/>
                          <w:color w:val="000000"/>
                          <w:kern w:val="24"/>
                          <w:sz w:val="18"/>
                          <w:szCs w:val="18"/>
                        </w:rPr>
                        <w:t xml:space="preserve"> (TNFR2) and its opposing counterpart (TNFR1) (right panel). </w:t>
                      </w:r>
                    </w:p>
                  </w:txbxContent>
                </v:textbox>
              </v:shape>
            </w:pict>
          </mc:Fallback>
        </mc:AlternateContent>
      </w:r>
    </w:p>
    <w:p w14:paraId="2FEE8FF3" w14:textId="5374EA66" w:rsidR="00217A79" w:rsidRDefault="00217A79" w:rsidP="005973B9">
      <w:pPr>
        <w:spacing w:line="204" w:lineRule="exact"/>
        <w:rPr>
          <w:rFonts w:ascii="Arial"/>
          <w:b/>
          <w:color w:val="BF5A14"/>
          <w:sz w:val="20"/>
        </w:rPr>
      </w:pPr>
    </w:p>
    <w:p w14:paraId="3DD0D881" w14:textId="3FD0E958" w:rsidR="00217A79" w:rsidRDefault="00217A79" w:rsidP="005973B9">
      <w:pPr>
        <w:spacing w:line="204" w:lineRule="exact"/>
        <w:rPr>
          <w:rFonts w:ascii="Arial"/>
          <w:b/>
          <w:color w:val="BF5A14"/>
          <w:sz w:val="20"/>
        </w:rPr>
      </w:pPr>
      <w:r>
        <w:rPr>
          <w:rFonts w:ascii="Arial"/>
          <w:b/>
          <w:color w:val="BF5A14"/>
          <w:sz w:val="20"/>
        </w:rPr>
        <w:t xml:space="preserve">    </w:t>
      </w:r>
    </w:p>
    <w:p w14:paraId="1B972AA7" w14:textId="603DD844" w:rsidR="00217A79" w:rsidRDefault="00217A79" w:rsidP="005973B9">
      <w:pPr>
        <w:spacing w:line="204" w:lineRule="exact"/>
        <w:rPr>
          <w:rFonts w:ascii="Arial"/>
          <w:b/>
          <w:color w:val="BF5A14"/>
          <w:sz w:val="20"/>
        </w:rPr>
      </w:pPr>
    </w:p>
    <w:p w14:paraId="2E84818A" w14:textId="77777777" w:rsidR="00217A79" w:rsidRDefault="00217A79" w:rsidP="005973B9">
      <w:pPr>
        <w:spacing w:line="204" w:lineRule="exact"/>
        <w:rPr>
          <w:rFonts w:ascii="Arial"/>
          <w:b/>
          <w:color w:val="BF5A14"/>
          <w:sz w:val="20"/>
        </w:rPr>
      </w:pPr>
    </w:p>
    <w:p w14:paraId="095CEE5F" w14:textId="77777777" w:rsidR="00217A79" w:rsidRDefault="00217A79" w:rsidP="005973B9">
      <w:pPr>
        <w:spacing w:line="204" w:lineRule="exact"/>
        <w:rPr>
          <w:rFonts w:ascii="Arial"/>
          <w:b/>
          <w:color w:val="BF5A14"/>
          <w:sz w:val="20"/>
        </w:rPr>
      </w:pPr>
    </w:p>
    <w:p w14:paraId="0BC68B64" w14:textId="2C6A6978" w:rsidR="005973B9" w:rsidRDefault="005973B9" w:rsidP="005973B9">
      <w:pPr>
        <w:spacing w:line="204" w:lineRule="exact"/>
        <w:rPr>
          <w:rFonts w:ascii="Arial"/>
          <w:b/>
          <w:sz w:val="20"/>
        </w:rPr>
      </w:pPr>
      <w:r>
        <w:rPr>
          <w:rFonts w:ascii="Arial"/>
          <w:b/>
          <w:color w:val="BF5A14"/>
          <w:sz w:val="20"/>
        </w:rPr>
        <w:t>Recent Publications (minimum 5)</w:t>
      </w:r>
    </w:p>
    <w:p w14:paraId="753A5127" w14:textId="77777777" w:rsidR="00DB7B90" w:rsidRPr="00143B2D" w:rsidRDefault="00DB7B90" w:rsidP="00DB7B90">
      <w:pPr>
        <w:pStyle w:val="ListParagraph"/>
        <w:widowControl/>
        <w:numPr>
          <w:ilvl w:val="0"/>
          <w:numId w:val="4"/>
        </w:numPr>
        <w:autoSpaceDE w:val="0"/>
        <w:autoSpaceDN w:val="0"/>
        <w:adjustRightInd w:val="0"/>
        <w:spacing w:before="120" w:line="240" w:lineRule="auto"/>
        <w:ind w:right="-72"/>
        <w:contextualSpacing/>
        <w:rPr>
          <w:rStyle w:val="docsum-pmid"/>
          <w:bCs/>
          <w:color w:val="000000" w:themeColor="text1"/>
          <w:sz w:val="18"/>
          <w:szCs w:val="18"/>
        </w:rPr>
      </w:pPr>
      <w:r w:rsidRPr="00143B2D">
        <w:rPr>
          <w:color w:val="000000" w:themeColor="text1"/>
          <w:sz w:val="18"/>
          <w:szCs w:val="18"/>
        </w:rPr>
        <w:t xml:space="preserve">Isbell M, </w:t>
      </w:r>
      <w:proofErr w:type="spellStart"/>
      <w:r w:rsidRPr="00143B2D">
        <w:rPr>
          <w:color w:val="000000" w:themeColor="text1"/>
          <w:sz w:val="18"/>
          <w:szCs w:val="18"/>
        </w:rPr>
        <w:t>Mirshahi</w:t>
      </w:r>
      <w:proofErr w:type="spellEnd"/>
      <w:r w:rsidRPr="00143B2D">
        <w:rPr>
          <w:color w:val="000000" w:themeColor="text1"/>
          <w:sz w:val="18"/>
          <w:szCs w:val="18"/>
        </w:rPr>
        <w:t xml:space="preserve"> F, </w:t>
      </w:r>
      <w:proofErr w:type="spellStart"/>
      <w:r w:rsidRPr="00143B2D">
        <w:rPr>
          <w:color w:val="000000" w:themeColor="text1"/>
          <w:sz w:val="18"/>
          <w:szCs w:val="18"/>
        </w:rPr>
        <w:t>Aqbi</w:t>
      </w:r>
      <w:proofErr w:type="spellEnd"/>
      <w:r w:rsidRPr="00143B2D">
        <w:rPr>
          <w:color w:val="000000" w:themeColor="text1"/>
          <w:sz w:val="18"/>
          <w:szCs w:val="18"/>
        </w:rPr>
        <w:t xml:space="preserve"> HF, Guo C, </w:t>
      </w:r>
      <w:proofErr w:type="spellStart"/>
      <w:r w:rsidRPr="00143B2D">
        <w:rPr>
          <w:color w:val="000000" w:themeColor="text1"/>
          <w:sz w:val="18"/>
          <w:szCs w:val="18"/>
        </w:rPr>
        <w:t>Saneshaw</w:t>
      </w:r>
      <w:proofErr w:type="spellEnd"/>
      <w:r w:rsidRPr="00143B2D">
        <w:rPr>
          <w:color w:val="000000" w:themeColor="text1"/>
          <w:sz w:val="18"/>
          <w:szCs w:val="18"/>
        </w:rPr>
        <w:t xml:space="preserve"> M, </w:t>
      </w:r>
      <w:proofErr w:type="spellStart"/>
      <w:r w:rsidRPr="00143B2D">
        <w:rPr>
          <w:color w:val="000000" w:themeColor="text1"/>
          <w:sz w:val="18"/>
          <w:szCs w:val="18"/>
        </w:rPr>
        <w:t>Koelsch</w:t>
      </w:r>
      <w:proofErr w:type="spellEnd"/>
      <w:r w:rsidRPr="00143B2D">
        <w:rPr>
          <w:color w:val="000000" w:themeColor="text1"/>
          <w:sz w:val="18"/>
          <w:szCs w:val="18"/>
        </w:rPr>
        <w:t xml:space="preserve"> N, Idowu MO, Austin D, </w:t>
      </w:r>
      <w:proofErr w:type="spellStart"/>
      <w:r w:rsidRPr="00143B2D">
        <w:rPr>
          <w:color w:val="000000" w:themeColor="text1"/>
          <w:sz w:val="18"/>
          <w:szCs w:val="18"/>
        </w:rPr>
        <w:t>Gelber</w:t>
      </w:r>
      <w:proofErr w:type="spellEnd"/>
      <w:r w:rsidRPr="00143B2D">
        <w:rPr>
          <w:color w:val="000000" w:themeColor="text1"/>
          <w:sz w:val="18"/>
          <w:szCs w:val="18"/>
        </w:rPr>
        <w:t xml:space="preserve"> C., Wang XY, </w:t>
      </w:r>
      <w:proofErr w:type="spellStart"/>
      <w:r w:rsidRPr="00143B2D">
        <w:rPr>
          <w:color w:val="000000" w:themeColor="text1"/>
          <w:sz w:val="18"/>
          <w:szCs w:val="18"/>
        </w:rPr>
        <w:t>Sanyal</w:t>
      </w:r>
      <w:proofErr w:type="spellEnd"/>
      <w:r w:rsidRPr="00143B2D">
        <w:rPr>
          <w:color w:val="000000" w:themeColor="text1"/>
          <w:sz w:val="18"/>
          <w:szCs w:val="18"/>
        </w:rPr>
        <w:t xml:space="preserve"> AJ, </w:t>
      </w:r>
      <w:proofErr w:type="spellStart"/>
      <w:r w:rsidRPr="00143B2D">
        <w:rPr>
          <w:color w:val="000000" w:themeColor="text1"/>
          <w:sz w:val="18"/>
          <w:szCs w:val="18"/>
        </w:rPr>
        <w:t>Manjili</w:t>
      </w:r>
      <w:proofErr w:type="spellEnd"/>
      <w:r w:rsidRPr="00143B2D">
        <w:rPr>
          <w:color w:val="000000" w:themeColor="text1"/>
          <w:sz w:val="18"/>
          <w:szCs w:val="18"/>
        </w:rPr>
        <w:t xml:space="preserve"> MH</w:t>
      </w:r>
      <w:r w:rsidRPr="00143B2D">
        <w:rPr>
          <w:bCs/>
          <w:color w:val="000000" w:themeColor="text1"/>
          <w:sz w:val="18"/>
          <w:szCs w:val="18"/>
        </w:rPr>
        <w:t xml:space="preserve"> </w:t>
      </w:r>
      <w:r>
        <w:rPr>
          <w:bCs/>
          <w:color w:val="000000" w:themeColor="text1"/>
          <w:sz w:val="18"/>
          <w:szCs w:val="18"/>
        </w:rPr>
        <w:t xml:space="preserve">(2022) </w:t>
      </w:r>
      <w:r w:rsidRPr="00143B2D">
        <w:rPr>
          <w:color w:val="000000" w:themeColor="text1"/>
          <w:sz w:val="18"/>
          <w:szCs w:val="18"/>
        </w:rPr>
        <w:t>Restoration of CD4</w:t>
      </w:r>
      <w:r w:rsidRPr="00143B2D">
        <w:rPr>
          <w:color w:val="000000" w:themeColor="text1"/>
          <w:sz w:val="18"/>
          <w:szCs w:val="18"/>
          <w:vertAlign w:val="superscript"/>
        </w:rPr>
        <w:t>+</w:t>
      </w:r>
      <w:r w:rsidRPr="00143B2D">
        <w:rPr>
          <w:color w:val="000000" w:themeColor="text1"/>
          <w:sz w:val="18"/>
          <w:szCs w:val="18"/>
        </w:rPr>
        <w:t xml:space="preserve"> T cells during NAFLD without modulation of immunological pattern is not sufficient to prevent HCC. </w:t>
      </w:r>
      <w:r w:rsidRPr="00143B2D">
        <w:rPr>
          <w:i/>
          <w:iCs/>
          <w:color w:val="000000" w:themeColor="text1"/>
          <w:sz w:val="18"/>
          <w:szCs w:val="18"/>
        </w:rPr>
        <w:t xml:space="preserve">Cancers </w:t>
      </w:r>
      <w:r w:rsidRPr="00143B2D">
        <w:rPr>
          <w:color w:val="000000" w:themeColor="text1"/>
          <w:sz w:val="18"/>
          <w:szCs w:val="18"/>
          <w:shd w:val="clear" w:color="auto" w:fill="FFFFFF"/>
        </w:rPr>
        <w:t>14(22):5502</w:t>
      </w:r>
    </w:p>
    <w:p w14:paraId="5948352F" w14:textId="77777777" w:rsidR="00DB7B90" w:rsidRPr="00143B2D" w:rsidRDefault="00DB7B90" w:rsidP="00DB7B90">
      <w:pPr>
        <w:pStyle w:val="ListParagraph"/>
        <w:widowControl/>
        <w:numPr>
          <w:ilvl w:val="0"/>
          <w:numId w:val="4"/>
        </w:numPr>
        <w:autoSpaceDE w:val="0"/>
        <w:autoSpaceDN w:val="0"/>
        <w:adjustRightInd w:val="0"/>
        <w:spacing w:before="120" w:after="120" w:line="240" w:lineRule="auto"/>
        <w:ind w:right="-72"/>
        <w:contextualSpacing/>
        <w:rPr>
          <w:bCs/>
          <w:color w:val="000000" w:themeColor="text1"/>
          <w:sz w:val="18"/>
          <w:szCs w:val="18"/>
        </w:rPr>
      </w:pPr>
      <w:proofErr w:type="spellStart"/>
      <w:r w:rsidRPr="00143B2D">
        <w:rPr>
          <w:color w:val="000000" w:themeColor="text1"/>
          <w:sz w:val="18"/>
          <w:szCs w:val="18"/>
        </w:rPr>
        <w:t>Mirshahi</w:t>
      </w:r>
      <w:proofErr w:type="spellEnd"/>
      <w:r w:rsidRPr="00143B2D">
        <w:rPr>
          <w:color w:val="000000" w:themeColor="text1"/>
          <w:sz w:val="18"/>
          <w:szCs w:val="18"/>
          <w:vertAlign w:val="superscript"/>
        </w:rPr>
        <w:t xml:space="preserve">, </w:t>
      </w:r>
      <w:r w:rsidRPr="00143B2D">
        <w:rPr>
          <w:color w:val="000000" w:themeColor="text1"/>
          <w:sz w:val="18"/>
          <w:szCs w:val="18"/>
        </w:rPr>
        <w:t xml:space="preserve">F, </w:t>
      </w:r>
      <w:proofErr w:type="spellStart"/>
      <w:r w:rsidRPr="00143B2D">
        <w:rPr>
          <w:color w:val="000000" w:themeColor="text1"/>
          <w:sz w:val="18"/>
          <w:szCs w:val="18"/>
        </w:rPr>
        <w:t>Aqbi</w:t>
      </w:r>
      <w:proofErr w:type="spellEnd"/>
      <w:r w:rsidRPr="00143B2D">
        <w:rPr>
          <w:color w:val="000000" w:themeColor="text1"/>
          <w:sz w:val="18"/>
          <w:szCs w:val="18"/>
        </w:rPr>
        <w:t xml:space="preserve"> HF, Isbell</w:t>
      </w:r>
      <w:r w:rsidRPr="00143B2D">
        <w:rPr>
          <w:color w:val="000000" w:themeColor="text1"/>
          <w:sz w:val="18"/>
          <w:szCs w:val="18"/>
          <w:vertAlign w:val="superscript"/>
        </w:rPr>
        <w:t xml:space="preserve"> </w:t>
      </w:r>
      <w:r w:rsidRPr="00143B2D">
        <w:rPr>
          <w:color w:val="000000" w:themeColor="text1"/>
          <w:sz w:val="18"/>
          <w:szCs w:val="18"/>
        </w:rPr>
        <w:t xml:space="preserve">M, </w:t>
      </w:r>
      <w:proofErr w:type="spellStart"/>
      <w:r w:rsidRPr="00143B2D">
        <w:rPr>
          <w:color w:val="000000" w:themeColor="text1"/>
          <w:sz w:val="18"/>
          <w:szCs w:val="18"/>
        </w:rPr>
        <w:t>Manjili</w:t>
      </w:r>
      <w:proofErr w:type="spellEnd"/>
      <w:r w:rsidRPr="00143B2D">
        <w:rPr>
          <w:color w:val="000000" w:themeColor="text1"/>
          <w:sz w:val="18"/>
          <w:szCs w:val="18"/>
          <w:vertAlign w:val="superscript"/>
        </w:rPr>
        <w:t xml:space="preserve"> </w:t>
      </w:r>
      <w:r w:rsidRPr="00143B2D">
        <w:rPr>
          <w:color w:val="000000" w:themeColor="text1"/>
          <w:sz w:val="18"/>
          <w:szCs w:val="18"/>
        </w:rPr>
        <w:t>SH, Guo</w:t>
      </w:r>
      <w:r w:rsidRPr="00143B2D">
        <w:rPr>
          <w:color w:val="000000" w:themeColor="text1"/>
          <w:sz w:val="18"/>
          <w:szCs w:val="18"/>
          <w:vertAlign w:val="superscript"/>
        </w:rPr>
        <w:t xml:space="preserve"> </w:t>
      </w:r>
      <w:r w:rsidRPr="00143B2D">
        <w:rPr>
          <w:color w:val="000000" w:themeColor="text1"/>
          <w:sz w:val="18"/>
          <w:szCs w:val="18"/>
        </w:rPr>
        <w:t xml:space="preserve">C, </w:t>
      </w:r>
      <w:proofErr w:type="spellStart"/>
      <w:r w:rsidRPr="00143B2D">
        <w:rPr>
          <w:color w:val="000000" w:themeColor="text1"/>
          <w:sz w:val="18"/>
          <w:szCs w:val="18"/>
        </w:rPr>
        <w:t>Saneshaw</w:t>
      </w:r>
      <w:proofErr w:type="spellEnd"/>
      <w:r w:rsidRPr="00143B2D">
        <w:rPr>
          <w:color w:val="000000" w:themeColor="text1"/>
          <w:sz w:val="18"/>
          <w:szCs w:val="18"/>
          <w:vertAlign w:val="superscript"/>
        </w:rPr>
        <w:t xml:space="preserve"> </w:t>
      </w:r>
      <w:r w:rsidRPr="00143B2D">
        <w:rPr>
          <w:color w:val="000000" w:themeColor="text1"/>
          <w:sz w:val="18"/>
          <w:szCs w:val="18"/>
        </w:rPr>
        <w:t xml:space="preserve">M, </w:t>
      </w:r>
      <w:proofErr w:type="spellStart"/>
      <w:r w:rsidRPr="00143B2D">
        <w:rPr>
          <w:color w:val="000000" w:themeColor="text1"/>
          <w:sz w:val="18"/>
          <w:szCs w:val="18"/>
          <w:shd w:val="clear" w:color="auto" w:fill="FFFFFF"/>
        </w:rPr>
        <w:t>Bandyopadhyay</w:t>
      </w:r>
      <w:proofErr w:type="spellEnd"/>
      <w:r w:rsidRPr="00143B2D">
        <w:rPr>
          <w:color w:val="000000" w:themeColor="text1"/>
          <w:sz w:val="18"/>
          <w:szCs w:val="18"/>
          <w:vertAlign w:val="superscript"/>
        </w:rPr>
        <w:t xml:space="preserve"> </w:t>
      </w:r>
      <w:r w:rsidRPr="00143B2D">
        <w:rPr>
          <w:color w:val="000000" w:themeColor="text1"/>
          <w:sz w:val="18"/>
          <w:szCs w:val="18"/>
        </w:rPr>
        <w:t xml:space="preserve">D, </w:t>
      </w:r>
      <w:proofErr w:type="spellStart"/>
      <w:r w:rsidRPr="00143B2D">
        <w:rPr>
          <w:color w:val="000000" w:themeColor="text1"/>
          <w:sz w:val="18"/>
          <w:szCs w:val="18"/>
        </w:rPr>
        <w:t>Dozmorov</w:t>
      </w:r>
      <w:proofErr w:type="spellEnd"/>
      <w:r w:rsidRPr="00143B2D">
        <w:rPr>
          <w:color w:val="000000" w:themeColor="text1"/>
          <w:sz w:val="18"/>
          <w:szCs w:val="18"/>
          <w:vertAlign w:val="superscript"/>
        </w:rPr>
        <w:t xml:space="preserve"> </w:t>
      </w:r>
      <w:r w:rsidRPr="00143B2D">
        <w:rPr>
          <w:color w:val="000000" w:themeColor="text1"/>
          <w:sz w:val="18"/>
          <w:szCs w:val="18"/>
        </w:rPr>
        <w:t xml:space="preserve">M, </w:t>
      </w:r>
      <w:proofErr w:type="spellStart"/>
      <w:r w:rsidRPr="00143B2D">
        <w:rPr>
          <w:color w:val="000000" w:themeColor="text1"/>
          <w:sz w:val="18"/>
          <w:szCs w:val="18"/>
        </w:rPr>
        <w:t>Khosla</w:t>
      </w:r>
      <w:proofErr w:type="spellEnd"/>
      <w:r w:rsidRPr="00143B2D">
        <w:rPr>
          <w:color w:val="000000" w:themeColor="text1"/>
          <w:sz w:val="18"/>
          <w:szCs w:val="18"/>
          <w:vertAlign w:val="superscript"/>
        </w:rPr>
        <w:t xml:space="preserve"> </w:t>
      </w:r>
      <w:r w:rsidRPr="00143B2D">
        <w:rPr>
          <w:color w:val="000000" w:themeColor="text1"/>
          <w:sz w:val="18"/>
          <w:szCs w:val="18"/>
        </w:rPr>
        <w:t xml:space="preserve">A, </w:t>
      </w:r>
      <w:proofErr w:type="spellStart"/>
      <w:r w:rsidRPr="00143B2D">
        <w:rPr>
          <w:color w:val="000000" w:themeColor="text1"/>
          <w:sz w:val="18"/>
          <w:szCs w:val="18"/>
        </w:rPr>
        <w:t>Wack</w:t>
      </w:r>
      <w:proofErr w:type="spellEnd"/>
      <w:r w:rsidRPr="00143B2D">
        <w:rPr>
          <w:color w:val="000000" w:themeColor="text1"/>
          <w:sz w:val="18"/>
          <w:szCs w:val="18"/>
          <w:vertAlign w:val="superscript"/>
        </w:rPr>
        <w:t xml:space="preserve"> </w:t>
      </w:r>
      <w:r w:rsidRPr="00143B2D">
        <w:rPr>
          <w:color w:val="000000" w:themeColor="text1"/>
          <w:sz w:val="18"/>
          <w:szCs w:val="18"/>
        </w:rPr>
        <w:t>K, Carrasco-</w:t>
      </w:r>
      <w:proofErr w:type="spellStart"/>
      <w:r w:rsidRPr="00143B2D">
        <w:rPr>
          <w:color w:val="000000" w:themeColor="text1"/>
          <w:sz w:val="18"/>
          <w:szCs w:val="18"/>
        </w:rPr>
        <w:t>Zevallos</w:t>
      </w:r>
      <w:proofErr w:type="spellEnd"/>
      <w:r w:rsidRPr="00143B2D">
        <w:rPr>
          <w:color w:val="000000" w:themeColor="text1"/>
          <w:sz w:val="18"/>
          <w:szCs w:val="18"/>
          <w:vertAlign w:val="superscript"/>
        </w:rPr>
        <w:t xml:space="preserve"> </w:t>
      </w:r>
      <w:r w:rsidRPr="00143B2D">
        <w:rPr>
          <w:color w:val="000000" w:themeColor="text1"/>
          <w:sz w:val="18"/>
          <w:szCs w:val="18"/>
        </w:rPr>
        <w:t>OM, Idowu</w:t>
      </w:r>
      <w:r w:rsidRPr="00143B2D">
        <w:rPr>
          <w:color w:val="000000" w:themeColor="text1"/>
          <w:sz w:val="18"/>
          <w:szCs w:val="18"/>
          <w:vertAlign w:val="superscript"/>
        </w:rPr>
        <w:t xml:space="preserve"> </w:t>
      </w:r>
      <w:r w:rsidRPr="00143B2D">
        <w:rPr>
          <w:color w:val="000000" w:themeColor="text1"/>
          <w:sz w:val="18"/>
          <w:szCs w:val="18"/>
        </w:rPr>
        <w:t>MO, Wang</w:t>
      </w:r>
      <w:r w:rsidRPr="00143B2D">
        <w:rPr>
          <w:color w:val="000000" w:themeColor="text1"/>
          <w:sz w:val="18"/>
          <w:szCs w:val="18"/>
          <w:vertAlign w:val="superscript"/>
        </w:rPr>
        <w:t xml:space="preserve"> </w:t>
      </w:r>
      <w:r w:rsidRPr="00143B2D">
        <w:rPr>
          <w:color w:val="000000" w:themeColor="text1"/>
          <w:sz w:val="18"/>
          <w:szCs w:val="18"/>
        </w:rPr>
        <w:t xml:space="preserve">XY, </w:t>
      </w:r>
      <w:proofErr w:type="spellStart"/>
      <w:r w:rsidRPr="00143B2D">
        <w:rPr>
          <w:color w:val="000000" w:themeColor="text1"/>
          <w:sz w:val="18"/>
          <w:szCs w:val="18"/>
        </w:rPr>
        <w:t>Sanyal</w:t>
      </w:r>
      <w:proofErr w:type="spellEnd"/>
      <w:r w:rsidRPr="00143B2D">
        <w:rPr>
          <w:color w:val="000000" w:themeColor="text1"/>
          <w:sz w:val="18"/>
          <w:szCs w:val="18"/>
          <w:vertAlign w:val="superscript"/>
        </w:rPr>
        <w:t xml:space="preserve"> </w:t>
      </w:r>
      <w:r w:rsidRPr="00143B2D">
        <w:rPr>
          <w:color w:val="000000" w:themeColor="text1"/>
          <w:sz w:val="18"/>
          <w:szCs w:val="18"/>
        </w:rPr>
        <w:t xml:space="preserve">AJ, </w:t>
      </w:r>
      <w:proofErr w:type="spellStart"/>
      <w:r w:rsidRPr="00143B2D">
        <w:rPr>
          <w:bCs/>
          <w:color w:val="000000" w:themeColor="text1"/>
          <w:sz w:val="18"/>
          <w:szCs w:val="18"/>
        </w:rPr>
        <w:t>Manjili</w:t>
      </w:r>
      <w:proofErr w:type="spellEnd"/>
      <w:r w:rsidRPr="00143B2D">
        <w:rPr>
          <w:bCs/>
          <w:color w:val="000000" w:themeColor="text1"/>
          <w:sz w:val="18"/>
          <w:szCs w:val="18"/>
        </w:rPr>
        <w:t xml:space="preserve"> MH</w:t>
      </w:r>
      <w:r>
        <w:rPr>
          <w:bCs/>
          <w:color w:val="000000" w:themeColor="text1"/>
          <w:sz w:val="18"/>
          <w:szCs w:val="18"/>
        </w:rPr>
        <w:t xml:space="preserve"> (2022)</w:t>
      </w:r>
      <w:r w:rsidRPr="00143B2D">
        <w:rPr>
          <w:bCs/>
          <w:color w:val="000000" w:themeColor="text1"/>
          <w:sz w:val="18"/>
          <w:szCs w:val="18"/>
        </w:rPr>
        <w:t xml:space="preserve"> Distinct hepatic immunological patterns are associated with the progression or inhibition of hepatocellular carcinoma. </w:t>
      </w:r>
      <w:r w:rsidRPr="00143B2D">
        <w:rPr>
          <w:bCs/>
          <w:i/>
          <w:iCs/>
          <w:color w:val="000000" w:themeColor="text1"/>
          <w:sz w:val="18"/>
          <w:szCs w:val="18"/>
        </w:rPr>
        <w:t>Cell Reports</w:t>
      </w:r>
      <w:r w:rsidRPr="00143B2D">
        <w:rPr>
          <w:bCs/>
          <w:color w:val="000000" w:themeColor="text1"/>
          <w:sz w:val="18"/>
          <w:szCs w:val="18"/>
        </w:rPr>
        <w:t xml:space="preserve"> </w:t>
      </w:r>
      <w:r w:rsidRPr="00143B2D">
        <w:rPr>
          <w:color w:val="000000" w:themeColor="text1"/>
          <w:sz w:val="18"/>
          <w:szCs w:val="18"/>
          <w:shd w:val="clear" w:color="auto" w:fill="FFFFFF"/>
        </w:rPr>
        <w:t>38(9):110454</w:t>
      </w:r>
    </w:p>
    <w:p w14:paraId="422D3B31" w14:textId="77777777" w:rsidR="00DB7B90" w:rsidRPr="00143B2D" w:rsidRDefault="00DB7B90" w:rsidP="00DB7B90">
      <w:pPr>
        <w:pStyle w:val="ListParagraph"/>
        <w:widowControl/>
        <w:numPr>
          <w:ilvl w:val="0"/>
          <w:numId w:val="4"/>
        </w:numPr>
        <w:autoSpaceDE w:val="0"/>
        <w:autoSpaceDN w:val="0"/>
        <w:adjustRightInd w:val="0"/>
        <w:spacing w:before="120" w:after="120" w:line="240" w:lineRule="auto"/>
        <w:ind w:right="-72"/>
        <w:contextualSpacing/>
        <w:rPr>
          <w:bCs/>
          <w:color w:val="000000" w:themeColor="text1"/>
          <w:sz w:val="18"/>
          <w:szCs w:val="18"/>
        </w:rPr>
      </w:pPr>
      <w:proofErr w:type="spellStart"/>
      <w:r w:rsidRPr="00143B2D">
        <w:rPr>
          <w:color w:val="000000" w:themeColor="text1"/>
          <w:sz w:val="18"/>
          <w:szCs w:val="18"/>
        </w:rPr>
        <w:t>Manjili</w:t>
      </w:r>
      <w:proofErr w:type="spellEnd"/>
      <w:r w:rsidRPr="00143B2D">
        <w:rPr>
          <w:color w:val="000000" w:themeColor="text1"/>
          <w:sz w:val="18"/>
          <w:szCs w:val="18"/>
        </w:rPr>
        <w:t xml:space="preserve"> MH</w:t>
      </w:r>
      <w:r>
        <w:rPr>
          <w:color w:val="000000" w:themeColor="text1"/>
          <w:sz w:val="18"/>
          <w:szCs w:val="18"/>
        </w:rPr>
        <w:t xml:space="preserve"> (2023)</w:t>
      </w:r>
      <w:r w:rsidRPr="00143B2D">
        <w:rPr>
          <w:color w:val="000000" w:themeColor="text1"/>
          <w:sz w:val="18"/>
          <w:szCs w:val="18"/>
        </w:rPr>
        <w:t xml:space="preserve"> The adaptation model of immunity: signal IV matters most in determining the outcomes of an immune response.</w:t>
      </w:r>
      <w:r w:rsidRPr="00143B2D">
        <w:rPr>
          <w:i/>
          <w:iCs/>
          <w:color w:val="000000" w:themeColor="text1"/>
          <w:sz w:val="18"/>
          <w:szCs w:val="18"/>
        </w:rPr>
        <w:t xml:space="preserve"> J Immunol </w:t>
      </w:r>
      <w:r w:rsidRPr="00143B2D">
        <w:rPr>
          <w:color w:val="000000" w:themeColor="text1"/>
          <w:sz w:val="18"/>
          <w:szCs w:val="18"/>
        </w:rPr>
        <w:t>(in press)</w:t>
      </w:r>
    </w:p>
    <w:p w14:paraId="5C44AEF3" w14:textId="77777777" w:rsidR="00DB7B90" w:rsidRPr="00143B2D" w:rsidRDefault="00DB7B90" w:rsidP="00DB7B90">
      <w:pPr>
        <w:pStyle w:val="ListParagraph"/>
        <w:widowControl/>
        <w:numPr>
          <w:ilvl w:val="0"/>
          <w:numId w:val="4"/>
        </w:numPr>
        <w:autoSpaceDE w:val="0"/>
        <w:autoSpaceDN w:val="0"/>
        <w:adjustRightInd w:val="0"/>
        <w:spacing w:before="120" w:after="120" w:line="240" w:lineRule="auto"/>
        <w:ind w:right="-72"/>
        <w:contextualSpacing/>
        <w:rPr>
          <w:bCs/>
          <w:color w:val="000000" w:themeColor="text1"/>
          <w:sz w:val="18"/>
          <w:szCs w:val="18"/>
        </w:rPr>
      </w:pPr>
      <w:proofErr w:type="spellStart"/>
      <w:r w:rsidRPr="00143B2D">
        <w:rPr>
          <w:bCs/>
          <w:color w:val="000000" w:themeColor="text1"/>
          <w:sz w:val="18"/>
          <w:szCs w:val="18"/>
        </w:rPr>
        <w:t>Manjili</w:t>
      </w:r>
      <w:proofErr w:type="spellEnd"/>
      <w:r w:rsidRPr="00143B2D">
        <w:rPr>
          <w:bCs/>
          <w:color w:val="000000" w:themeColor="text1"/>
          <w:sz w:val="18"/>
          <w:szCs w:val="18"/>
        </w:rPr>
        <w:t xml:space="preserve"> MH</w:t>
      </w:r>
      <w:r>
        <w:rPr>
          <w:bCs/>
          <w:color w:val="000000" w:themeColor="text1"/>
          <w:sz w:val="18"/>
          <w:szCs w:val="18"/>
        </w:rPr>
        <w:t xml:space="preserve"> (2023) </w:t>
      </w:r>
      <w:r w:rsidRPr="00143B2D">
        <w:rPr>
          <w:bCs/>
          <w:color w:val="000000" w:themeColor="text1"/>
          <w:sz w:val="18"/>
          <w:szCs w:val="18"/>
        </w:rPr>
        <w:t>The adaptation model of immunity: a new insight into etiology and treatment of multiple sclerosis.</w:t>
      </w:r>
      <w:r w:rsidRPr="00143B2D">
        <w:rPr>
          <w:color w:val="000000" w:themeColor="text1"/>
          <w:sz w:val="18"/>
          <w:szCs w:val="18"/>
        </w:rPr>
        <w:t xml:space="preserve"> </w:t>
      </w:r>
      <w:r w:rsidRPr="00143B2D">
        <w:rPr>
          <w:i/>
          <w:iCs/>
          <w:color w:val="000000" w:themeColor="text1"/>
          <w:sz w:val="18"/>
          <w:szCs w:val="18"/>
        </w:rPr>
        <w:t xml:space="preserve">Scan J Immunol </w:t>
      </w:r>
      <w:r w:rsidRPr="00143B2D">
        <w:rPr>
          <w:color w:val="000000" w:themeColor="text1"/>
          <w:sz w:val="18"/>
          <w:szCs w:val="18"/>
          <w:shd w:val="clear" w:color="auto" w:fill="FFFFFF"/>
        </w:rPr>
        <w:t>Jan 20:e13255</w:t>
      </w:r>
    </w:p>
    <w:p w14:paraId="51F88C8C" w14:textId="77777777" w:rsidR="00DB7B90" w:rsidRPr="00B82FC0" w:rsidRDefault="00DB7B90" w:rsidP="00DB7B90">
      <w:pPr>
        <w:pStyle w:val="ListParagraph"/>
        <w:widowControl/>
        <w:numPr>
          <w:ilvl w:val="0"/>
          <w:numId w:val="4"/>
        </w:numPr>
        <w:autoSpaceDE w:val="0"/>
        <w:autoSpaceDN w:val="0"/>
        <w:adjustRightInd w:val="0"/>
        <w:spacing w:before="120" w:line="240" w:lineRule="auto"/>
        <w:ind w:right="-72"/>
        <w:contextualSpacing/>
        <w:rPr>
          <w:bCs/>
          <w:color w:val="000000" w:themeColor="text1"/>
          <w:sz w:val="18"/>
          <w:szCs w:val="18"/>
        </w:rPr>
      </w:pPr>
      <w:proofErr w:type="spellStart"/>
      <w:r w:rsidRPr="00143B2D">
        <w:rPr>
          <w:color w:val="000000" w:themeColor="text1"/>
          <w:sz w:val="18"/>
          <w:szCs w:val="18"/>
        </w:rPr>
        <w:t>Manjili</w:t>
      </w:r>
      <w:proofErr w:type="spellEnd"/>
      <w:r w:rsidRPr="00143B2D">
        <w:rPr>
          <w:color w:val="000000" w:themeColor="text1"/>
          <w:sz w:val="18"/>
          <w:szCs w:val="18"/>
        </w:rPr>
        <w:t xml:space="preserve"> MH</w:t>
      </w:r>
      <w:r>
        <w:rPr>
          <w:color w:val="000000" w:themeColor="text1"/>
          <w:sz w:val="18"/>
          <w:szCs w:val="18"/>
        </w:rPr>
        <w:t xml:space="preserve"> (2023)</w:t>
      </w:r>
      <w:r w:rsidRPr="00B82FC0">
        <w:rPr>
          <w:color w:val="000000" w:themeColor="text1"/>
          <w:sz w:val="18"/>
          <w:szCs w:val="18"/>
        </w:rPr>
        <w:t xml:space="preserve"> The adaptation model of immunity: is the goal of central tolerance to eliminate defective T cells or self-reactive T cells? </w:t>
      </w:r>
      <w:proofErr w:type="spellStart"/>
      <w:r w:rsidRPr="00B82FC0">
        <w:rPr>
          <w:i/>
          <w:iCs/>
          <w:color w:val="000000" w:themeColor="text1"/>
          <w:sz w:val="18"/>
          <w:szCs w:val="18"/>
        </w:rPr>
        <w:t>Scand</w:t>
      </w:r>
      <w:proofErr w:type="spellEnd"/>
      <w:r w:rsidRPr="00B82FC0">
        <w:rPr>
          <w:i/>
          <w:iCs/>
          <w:color w:val="000000" w:themeColor="text1"/>
          <w:sz w:val="18"/>
          <w:szCs w:val="18"/>
        </w:rPr>
        <w:t xml:space="preserve"> J </w:t>
      </w:r>
      <w:proofErr w:type="spellStart"/>
      <w:r w:rsidRPr="00B82FC0">
        <w:rPr>
          <w:i/>
          <w:iCs/>
          <w:color w:val="000000" w:themeColor="text1"/>
          <w:sz w:val="18"/>
          <w:szCs w:val="18"/>
        </w:rPr>
        <w:t>Immunol</w:t>
      </w:r>
      <w:proofErr w:type="spellEnd"/>
      <w:r w:rsidRPr="00B82FC0">
        <w:rPr>
          <w:color w:val="000000" w:themeColor="text1"/>
          <w:sz w:val="18"/>
          <w:szCs w:val="18"/>
        </w:rPr>
        <w:t>.</w:t>
      </w:r>
      <w:r w:rsidRPr="00B82FC0">
        <w:rPr>
          <w:color w:val="000000" w:themeColor="text1"/>
          <w:sz w:val="18"/>
          <w:szCs w:val="18"/>
          <w:shd w:val="clear" w:color="auto" w:fill="FFFFFF"/>
        </w:rPr>
        <w:t xml:space="preserve"> 96(4):e13209</w:t>
      </w:r>
      <w:r w:rsidRPr="00B82FC0">
        <w:rPr>
          <w:color w:val="000000" w:themeColor="text1"/>
          <w:sz w:val="18"/>
          <w:szCs w:val="18"/>
        </w:rPr>
        <w:t>. doi: 10.1111/sji.13209</w:t>
      </w:r>
    </w:p>
    <w:p w14:paraId="36F472B0" w14:textId="5A0BE42E"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5AE0A367" w14:textId="77777777" w:rsidR="00AE3E37" w:rsidRDefault="00AE3E37">
      <w:pPr>
        <w:pStyle w:val="BodyText"/>
        <w:rPr>
          <w:rFonts w:ascii="Calibri"/>
          <w:sz w:val="20"/>
        </w:rPr>
      </w:pPr>
    </w:p>
    <w:p w14:paraId="76E97B9C" w14:textId="6C434AF4" w:rsidR="00AE3E37" w:rsidRDefault="00AE3E37">
      <w:pPr>
        <w:pStyle w:val="BodyText"/>
        <w:spacing w:line="40" w:lineRule="exact"/>
        <w:ind w:left="2202"/>
        <w:rPr>
          <w:rFonts w:ascii="Calibri"/>
          <w:sz w:val="4"/>
        </w:rPr>
      </w:pPr>
    </w:p>
    <w:p w14:paraId="7637FDAA" w14:textId="19694FC1" w:rsidR="00AE3E37" w:rsidRDefault="002D0133"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16DAE065" w14:textId="7A7195EE" w:rsidR="00AE3E37" w:rsidRDefault="00A9710C">
      <w:pPr>
        <w:spacing w:before="62"/>
        <w:ind w:left="4217" w:right="4235"/>
        <w:jc w:val="center"/>
        <w:rPr>
          <w:rFonts w:ascii="Arial"/>
          <w:sz w:val="14"/>
        </w:rPr>
      </w:pPr>
      <w:r>
        <w:rPr>
          <w:rFonts w:ascii="Arial"/>
          <w:sz w:val="14"/>
        </w:rPr>
        <w:t xml:space="preserve">Email: </w:t>
      </w:r>
      <w:hyperlink r:id="rId10" w:history="1">
        <w:r w:rsidR="00DB7B90" w:rsidRPr="007A71D4">
          <w:rPr>
            <w:rStyle w:val="Hyperlink"/>
            <w:rFonts w:ascii="Arial"/>
            <w:sz w:val="14"/>
          </w:rPr>
          <w:t>masoud.manjili@vcuhealth.org</w:t>
        </w:r>
      </w:hyperlink>
    </w:p>
    <w:p w14:paraId="65DF4992" w14:textId="195B696E" w:rsidR="00AE3E37" w:rsidRDefault="002D0133">
      <w:pPr>
        <w:pStyle w:val="BodyText"/>
        <w:spacing w:before="2"/>
        <w:rPr>
          <w:rFonts w:ascii="Arial"/>
          <w:sz w:val="19"/>
        </w:rPr>
      </w:pPr>
      <w:proofErr w:type="spellStart"/>
      <w:r w:rsidRPr="002D0133">
        <w:rPr>
          <w:rFonts w:ascii="Arial"/>
          <w:sz w:val="19"/>
        </w:rPr>
        <w:t>Masoud</w:t>
      </w:r>
      <w:proofErr w:type="spellEnd"/>
      <w:r w:rsidRPr="002D0133">
        <w:rPr>
          <w:rFonts w:ascii="Arial"/>
          <w:sz w:val="19"/>
        </w:rPr>
        <w:t xml:space="preserve"> H </w:t>
      </w:r>
      <w:proofErr w:type="spellStart"/>
      <w:r w:rsidRPr="002D0133">
        <w:rPr>
          <w:rFonts w:ascii="Arial"/>
          <w:sz w:val="19"/>
        </w:rPr>
        <w:t>Manjili</w:t>
      </w:r>
      <w:proofErr w:type="spellEnd"/>
      <w:r w:rsidRPr="002D0133">
        <w:rPr>
          <w:rFonts w:ascii="Arial"/>
          <w:sz w:val="19"/>
        </w:rPr>
        <w:t xml:space="preserve"> is an immunologist who has conceptualized the adaptation model of immunity as well as immunological pattern discovery approach for understanding of collective immune function during cancer and immune-related diseases. The adaptation model is designed to explain decision-making for T cells in destroying or supporting its target cell/tissue. The pattern discovery approach relies on systems immunology to understand collective immune function emerging from internetwork mutual interactions of immune cell types.</w:t>
      </w:r>
    </w:p>
    <w:sectPr w:rsidR="00AE3E37" w:rsidSect="002D0133">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A031C" w14:textId="77777777" w:rsidR="009526DB" w:rsidRDefault="009526DB">
      <w:r>
        <w:separator/>
      </w:r>
    </w:p>
  </w:endnote>
  <w:endnote w:type="continuationSeparator" w:id="0">
    <w:p w14:paraId="6683DC7F" w14:textId="77777777" w:rsidR="009526DB" w:rsidRDefault="00952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A854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5E21B2D5" wp14:editId="4DD68F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C5C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0625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21B2D5" id="_x0000_t202" coordsize="21600,21600" o:spt="202" path="m,l,21600r21600,l21600,xe">
              <v:stroke joinstyle="miter"/>
              <v:path gradientshapeok="t" o:connecttype="rect"/>
            </v:shapetype>
            <v:shape id="Text Box 3" o:spid="_x0000_s1028" type="#_x0000_t202" style="position:absolute;margin-left:35pt;margin-top:798.8pt;width:168.2pt;height:19.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4CCC5C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0625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3B3E11EC" wp14:editId="57426D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A5F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E268D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3E11EC"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706A5F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E268D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2A669E13" wp14:editId="3DCB06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587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0EABE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69E13" id="Text Box 1" o:spid="_x0000_s1030" type="#_x0000_t202" style="position:absolute;margin-left:468.9pt;margin-top:798.8pt;width:91.4pt;height:26.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71B5872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0EABE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670DDB" w14:textId="77777777" w:rsidR="009526DB" w:rsidRDefault="009526DB">
      <w:r>
        <w:separator/>
      </w:r>
    </w:p>
  </w:footnote>
  <w:footnote w:type="continuationSeparator" w:id="0">
    <w:p w14:paraId="1891837A" w14:textId="77777777" w:rsidR="009526DB" w:rsidRDefault="009526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FD23DC"/>
    <w:multiLevelType w:val="hybridMultilevel"/>
    <w:tmpl w:val="C4CC80EE"/>
    <w:lvl w:ilvl="0" w:tplc="66BCAE1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17A79"/>
    <w:rsid w:val="00292ED9"/>
    <w:rsid w:val="002D0133"/>
    <w:rsid w:val="00351D9B"/>
    <w:rsid w:val="00380299"/>
    <w:rsid w:val="00404E5B"/>
    <w:rsid w:val="00412918"/>
    <w:rsid w:val="00414F7B"/>
    <w:rsid w:val="004355DC"/>
    <w:rsid w:val="004749B4"/>
    <w:rsid w:val="00475D20"/>
    <w:rsid w:val="00494130"/>
    <w:rsid w:val="004F3523"/>
    <w:rsid w:val="00590D60"/>
    <w:rsid w:val="005973B9"/>
    <w:rsid w:val="005B3A56"/>
    <w:rsid w:val="006060CE"/>
    <w:rsid w:val="0061505C"/>
    <w:rsid w:val="0063497F"/>
    <w:rsid w:val="00714354"/>
    <w:rsid w:val="00815AB2"/>
    <w:rsid w:val="00873DF0"/>
    <w:rsid w:val="008756E6"/>
    <w:rsid w:val="00897EC5"/>
    <w:rsid w:val="008A0763"/>
    <w:rsid w:val="008E5477"/>
    <w:rsid w:val="009526DB"/>
    <w:rsid w:val="009B2D44"/>
    <w:rsid w:val="00A07E82"/>
    <w:rsid w:val="00A52075"/>
    <w:rsid w:val="00A9710C"/>
    <w:rsid w:val="00AE3E37"/>
    <w:rsid w:val="00B21A57"/>
    <w:rsid w:val="00BE6743"/>
    <w:rsid w:val="00C33602"/>
    <w:rsid w:val="00C56C74"/>
    <w:rsid w:val="00CD6F55"/>
    <w:rsid w:val="00DB7B90"/>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4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72"/>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docsum-pmid">
    <w:name w:val="docsum-pmid"/>
    <w:basedOn w:val="DefaultParagraphFont"/>
    <w:rsid w:val="00DB7B90"/>
  </w:style>
  <w:style w:type="character" w:customStyle="1" w:styleId="UnresolvedMention">
    <w:name w:val="Unresolved Mention"/>
    <w:basedOn w:val="DefaultParagraphFont"/>
    <w:uiPriority w:val="99"/>
    <w:semiHidden/>
    <w:unhideWhenUsed/>
    <w:rsid w:val="00DB7B9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72"/>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docsum-pmid">
    <w:name w:val="docsum-pmid"/>
    <w:basedOn w:val="DefaultParagraphFont"/>
    <w:rsid w:val="00DB7B90"/>
  </w:style>
  <w:style w:type="character" w:customStyle="1" w:styleId="UnresolvedMention">
    <w:name w:val="Unresolved Mention"/>
    <w:basedOn w:val="DefaultParagraphFont"/>
    <w:uiPriority w:val="99"/>
    <w:semiHidden/>
    <w:unhideWhenUsed/>
    <w:rsid w:val="00DB7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soud.manjili@vcuhealth.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2023-01-24T07:12:00Z</dcterms:created>
  <dcterms:modified xsi:type="dcterms:W3CDTF">2023-01-24T07:12:00Z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