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2083" w:rsidRPr="00A522CD" w:rsidRDefault="007D2083" w:rsidP="007D2083">
      <w:pPr>
        <w:rPr>
          <w:rFonts w:cstheme="minorHAnsi"/>
          <w:b/>
          <w:sz w:val="36"/>
          <w:szCs w:val="36"/>
        </w:rPr>
      </w:pPr>
      <w:bookmarkStart w:id="0" w:name="_GoBack"/>
      <w:bookmarkEnd w:id="0"/>
      <w:r w:rsidRPr="00A522CD">
        <w:rPr>
          <w:rFonts w:cstheme="minorHAnsi"/>
          <w:b/>
          <w:sz w:val="40"/>
          <w:szCs w:val="40"/>
        </w:rPr>
        <w:t>The great potential of lectin-protease conjugates in Cancer therapeutics</w:t>
      </w:r>
    </w:p>
    <w:p w:rsidR="007D2083" w:rsidRPr="00276F1F" w:rsidRDefault="00643DB6" w:rsidP="007D2083">
      <w:pPr>
        <w:jc w:val="center"/>
        <w:rPr>
          <w:rStyle w:val="Hyperlink"/>
          <w:rFonts w:ascii="Arial" w:hAnsi="Arial" w:cs="Arial"/>
          <w:b/>
          <w:bCs/>
          <w:color w:val="006DB4"/>
          <w:sz w:val="28"/>
          <w:szCs w:val="28"/>
        </w:rPr>
      </w:pPr>
      <w:hyperlink r:id="rId8" w:history="1">
        <w:r w:rsidR="007D2083" w:rsidRPr="00165AFA">
          <w:rPr>
            <w:rStyle w:val="Hyperlink"/>
            <w:rFonts w:ascii="Arial" w:hAnsi="Arial" w:cs="Arial"/>
            <w:b/>
            <w:bCs/>
            <w:color w:val="006DB4"/>
            <w:sz w:val="28"/>
            <w:szCs w:val="28"/>
          </w:rPr>
          <w:t>Ashraf Abdullah Saad</w:t>
        </w:r>
      </w:hyperlink>
      <w:r w:rsidR="007D2083" w:rsidRPr="00276F1F">
        <w:rPr>
          <w:rStyle w:val="Hyperlink"/>
          <w:rFonts w:ascii="Arial" w:hAnsi="Arial" w:cs="Arial"/>
          <w:b/>
          <w:bCs/>
          <w:color w:val="006DB4"/>
          <w:sz w:val="28"/>
          <w:szCs w:val="28"/>
        </w:rPr>
        <w:t>, MBBS, MRCPCH.</w:t>
      </w:r>
    </w:p>
    <w:p w:rsidR="007D2083" w:rsidRPr="00165AFA" w:rsidRDefault="007D2083" w:rsidP="007D2083">
      <w:pPr>
        <w:jc w:val="center"/>
        <w:rPr>
          <w:rFonts w:cstheme="minorHAnsi"/>
          <w:i/>
          <w:sz w:val="24"/>
        </w:rPr>
      </w:pPr>
      <w:r w:rsidRPr="00165AFA">
        <w:rPr>
          <w:rFonts w:cstheme="minorHAnsi"/>
          <w:i/>
          <w:sz w:val="24"/>
        </w:rPr>
        <w:t>Pediatric Hematologic Oncology and BMT, Sultan Qaboos University Hospital, Muscat, Oman</w:t>
      </w:r>
    </w:p>
    <w:p w:rsidR="007D2083" w:rsidRPr="00DD4B7A" w:rsidRDefault="007D2083" w:rsidP="007D2083">
      <w:pPr>
        <w:jc w:val="center"/>
        <w:rPr>
          <w:rFonts w:cstheme="minorHAnsi"/>
          <w:i/>
          <w:sz w:val="24"/>
        </w:rPr>
      </w:pP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9"/>
          <w:type w:val="continuous"/>
          <w:pgSz w:w="11910" w:h="16840"/>
          <w:pgMar w:top="995" w:right="600" w:bottom="840" w:left="620" w:header="0" w:footer="0" w:gutter="0"/>
          <w:cols w:space="720"/>
          <w:docGrid w:linePitch="299"/>
        </w:sectPr>
      </w:pPr>
    </w:p>
    <w:p w:rsidR="007F35F5" w:rsidRDefault="007F35F5" w:rsidP="00F36F29">
      <w:pPr>
        <w:rPr>
          <w:b/>
          <w:bCs/>
          <w:color w:val="984806" w:themeColor="accent6" w:themeShade="80"/>
          <w:sz w:val="36"/>
          <w:szCs w:val="36"/>
        </w:rPr>
      </w:pPr>
    </w:p>
    <w:p w:rsidR="007F35F5" w:rsidRDefault="007F35F5" w:rsidP="00F36F29">
      <w:pPr>
        <w:rPr>
          <w:b/>
          <w:bCs/>
          <w:color w:val="984806" w:themeColor="accent6" w:themeShade="80"/>
          <w:sz w:val="36"/>
          <w:szCs w:val="36"/>
        </w:rPr>
      </w:pPr>
    </w:p>
    <w:p w:rsidR="007F35F5" w:rsidRDefault="007F35F5" w:rsidP="00F36F29">
      <w:pPr>
        <w:rPr>
          <w:b/>
          <w:bCs/>
          <w:color w:val="984806" w:themeColor="accent6" w:themeShade="80"/>
          <w:sz w:val="36"/>
          <w:szCs w:val="36"/>
        </w:rPr>
      </w:pPr>
    </w:p>
    <w:p w:rsidR="00AE3E37" w:rsidRPr="00F36F29" w:rsidRDefault="00A9710C" w:rsidP="00F36F29">
      <w:pPr>
        <w:rPr>
          <w:b/>
          <w:bCs/>
          <w:color w:val="984806" w:themeColor="accent6" w:themeShade="80"/>
          <w:sz w:val="36"/>
          <w:szCs w:val="36"/>
        </w:rPr>
      </w:pPr>
      <w:r w:rsidRPr="00F36F29">
        <w:rPr>
          <w:b/>
          <w:bCs/>
          <w:color w:val="984806" w:themeColor="accent6" w:themeShade="80"/>
          <w:sz w:val="36"/>
          <w:szCs w:val="36"/>
        </w:rPr>
        <w:t>Abstract</w:t>
      </w:r>
    </w:p>
    <w:p w:rsidR="00F36F29" w:rsidRPr="00F36F29" w:rsidRDefault="00F36F29" w:rsidP="007D2083">
      <w:pPr>
        <w:rPr>
          <w:b/>
          <w:bCs/>
          <w:color w:val="984806" w:themeColor="accent6" w:themeShade="80"/>
          <w:sz w:val="32"/>
          <w:szCs w:val="32"/>
        </w:rPr>
      </w:pPr>
    </w:p>
    <w:p w:rsidR="007D2083" w:rsidRPr="00DD4B7A" w:rsidRDefault="007D2083" w:rsidP="007D2083">
      <w:pPr>
        <w:rPr>
          <w:rFonts w:cstheme="minorHAnsi"/>
          <w:sz w:val="24"/>
          <w:szCs w:val="24"/>
          <w:lang w:val="en-NZ"/>
        </w:rPr>
      </w:pPr>
      <w:r w:rsidRPr="00DD4B7A">
        <w:rPr>
          <w:rFonts w:cstheme="minorHAnsi"/>
          <w:sz w:val="24"/>
          <w:szCs w:val="24"/>
          <w:lang w:val="en-NZ"/>
        </w:rPr>
        <w:t>Unlike cytotoxic chemotherapy, cancer immunotherapy offers targeted therapies that exploit the effector mechanisms of the immune system to combat cancer. However, most therapeutic strategies have so far focused predominantly on the orchestration of the adaptive immune responses to anti-cancer immunotherapies. Unfortunately, the emergence of resistance and associated severe toxicities rendered this modality of treatment imperfect. Because of their complex nature and the late ability to selectively separate distinct innate immune responses, the enormous potential of innate immunity as an immunotherapy was largely neglected. Recently, the growing demand to find alternatives to adaptive immunity-based immunotherapy concurred with growing appreciation of the innate immune effectors contributions to anti-tumor immunity. In particular, the innate immunity anti-infective responses overlap with those that target cancer indicating that these responses can readily be manipulated to design new therapeutic approaches. The paradigm of lectin pathway in recognition of distinct ‘non-self’ (antigenic) glycans on the surface of pathogenic microbes in concert with cancer’s indigenous aberrant (antigenic) glycans render lectin pathway a canonical component of innate immune system that can be extrapolated to cancer immunotherapy. By virtue of recent advances in lectin engineering, the encouraging results of using engineered lectins as anti-viral agents can be replicated in cancer immunotherapy.</w:t>
      </w:r>
    </w:p>
    <w:p w:rsidR="00AE3E37" w:rsidRPr="00F36F29" w:rsidRDefault="00A9710C" w:rsidP="00F36F29">
      <w:pPr>
        <w:rPr>
          <w:b/>
          <w:bCs/>
          <w:color w:val="984806" w:themeColor="accent6" w:themeShade="80"/>
          <w:sz w:val="36"/>
          <w:szCs w:val="36"/>
        </w:rPr>
      </w:pPr>
      <w:r>
        <w:br w:type="column"/>
      </w:r>
      <w:r w:rsidRPr="00F36F29">
        <w:rPr>
          <w:b/>
          <w:bCs/>
          <w:color w:val="984806" w:themeColor="accent6" w:themeShade="80"/>
          <w:sz w:val="36"/>
          <w:szCs w:val="36"/>
        </w:rPr>
        <w:lastRenderedPageBreak/>
        <w:t>Image</w:t>
      </w:r>
    </w:p>
    <w:p w:rsidR="00AE3E37" w:rsidRDefault="00F36F29">
      <w:pPr>
        <w:pStyle w:val="BodyText"/>
        <w:spacing w:before="2"/>
        <w:rPr>
          <w:rFonts w:ascii="Arial"/>
          <w:b/>
          <w:sz w:val="16"/>
        </w:rPr>
      </w:pPr>
      <w:r>
        <w:rPr>
          <w:rFonts w:ascii="Arial"/>
          <w:b/>
          <w:noProof/>
          <w:sz w:val="16"/>
          <w:lang w:val="en-IN" w:eastAsia="en-IN"/>
        </w:rPr>
        <w:drawing>
          <wp:inline distT="0" distB="0" distL="0" distR="0">
            <wp:extent cx="3163062" cy="3811219"/>
            <wp:effectExtent l="19050" t="0" r="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srcRect/>
                    <a:stretch>
                      <a:fillRect/>
                    </a:stretch>
                  </pic:blipFill>
                  <pic:spPr bwMode="auto">
                    <a:xfrm>
                      <a:off x="0" y="0"/>
                      <a:ext cx="3165475" cy="3814126"/>
                    </a:xfrm>
                    <a:prstGeom prst="rect">
                      <a:avLst/>
                    </a:prstGeom>
                    <a:noFill/>
                    <a:ln w="9525">
                      <a:noFill/>
                      <a:miter lim="800000"/>
                      <a:headEnd/>
                      <a:tailEnd/>
                    </a:ln>
                  </pic:spPr>
                </pic:pic>
              </a:graphicData>
            </a:graphic>
          </wp:inline>
        </w:drawing>
      </w:r>
    </w:p>
    <w:p w:rsidR="00F36F29" w:rsidRDefault="005973B9" w:rsidP="005973B9">
      <w:pPr>
        <w:spacing w:line="204" w:lineRule="exact"/>
        <w:rPr>
          <w:rFonts w:ascii="Arial" w:eastAsia="Arial" w:hAnsi="Arial" w:cs="Arial"/>
          <w:b/>
          <w:bCs/>
          <w:color w:val="BF5A14"/>
          <w:sz w:val="32"/>
          <w:szCs w:val="32"/>
        </w:rPr>
      </w:pPr>
      <w:r>
        <w:rPr>
          <w:rFonts w:ascii="Arial"/>
          <w:b/>
          <w:color w:val="BF5A14"/>
          <w:sz w:val="20"/>
        </w:rPr>
        <w:br/>
      </w:r>
    </w:p>
    <w:p w:rsidR="005973B9" w:rsidRPr="00F36F29" w:rsidRDefault="005973B9" w:rsidP="00F36F29">
      <w:pPr>
        <w:rPr>
          <w:b/>
          <w:bCs/>
          <w:color w:val="984806" w:themeColor="accent6" w:themeShade="80"/>
          <w:sz w:val="36"/>
          <w:szCs w:val="36"/>
        </w:rPr>
      </w:pPr>
      <w:r w:rsidRPr="00F36F29">
        <w:rPr>
          <w:b/>
          <w:bCs/>
          <w:color w:val="984806" w:themeColor="accent6" w:themeShade="80"/>
          <w:sz w:val="36"/>
          <w:szCs w:val="36"/>
        </w:rPr>
        <w:t>Recent Publications</w:t>
      </w:r>
    </w:p>
    <w:p w:rsidR="00F36F29" w:rsidRDefault="00F36F29" w:rsidP="00F36F29">
      <w:pPr>
        <w:widowControl/>
        <w:numPr>
          <w:ilvl w:val="0"/>
          <w:numId w:val="3"/>
        </w:numPr>
        <w:shd w:val="clear" w:color="auto" w:fill="FFFFFF"/>
        <w:spacing w:afterAutospacing="1"/>
        <w:rPr>
          <w:rFonts w:ascii="Arial" w:hAnsi="Arial" w:cs="Arial"/>
          <w:color w:val="333333"/>
          <w:sz w:val="18"/>
          <w:szCs w:val="18"/>
        </w:rPr>
      </w:pPr>
      <w:r w:rsidRPr="00F36F29">
        <w:rPr>
          <w:rFonts w:ascii="Calibri" w:eastAsia="Calibri" w:hAnsi="Calibri" w:cs="Calibri"/>
        </w:rPr>
        <w:t>Ashraf Abdullah Saad (2022) Targeting cancer-associated glycans as a therapeutic strategy in leukemia, All Life, 15:1, 378-433, DOI: </w:t>
      </w:r>
      <w:hyperlink r:id="rId11" w:history="1">
        <w:r w:rsidRPr="00F36F29">
          <w:rPr>
            <w:rFonts w:ascii="Calibri" w:eastAsia="Calibri" w:hAnsi="Calibri" w:cs="Calibri"/>
          </w:rPr>
          <w:t>10.1080/26895293.2022.2049901</w:t>
        </w:r>
      </w:hyperlink>
    </w:p>
    <w:p w:rsidR="00C7283E" w:rsidRPr="00C7283E" w:rsidRDefault="00C7283E" w:rsidP="005973B9">
      <w:pPr>
        <w:pStyle w:val="ListParagraph"/>
        <w:numPr>
          <w:ilvl w:val="0"/>
          <w:numId w:val="3"/>
        </w:numPr>
        <w:tabs>
          <w:tab w:val="left" w:pos="384"/>
        </w:tabs>
        <w:spacing w:before="103" w:line="216" w:lineRule="exact"/>
        <w:ind w:right="138" w:hanging="283"/>
      </w:pPr>
      <w:r w:rsidRPr="00C7283E">
        <w:t>Saad, A. (2022). Unveiling the Great Therapeutic Potential of MASPs as Hemostatic Agents. </w:t>
      </w:r>
      <w:r w:rsidRPr="00C7283E">
        <w:rPr>
          <w:i/>
          <w:iCs/>
        </w:rPr>
        <w:t>Journal Of Hematology, 11</w:t>
      </w:r>
      <w:r w:rsidRPr="00C7283E">
        <w:t>(6), 240-245.</w:t>
      </w:r>
    </w:p>
    <w:p w:rsidR="00C7283E" w:rsidRPr="00C7283E" w:rsidRDefault="00C7283E" w:rsidP="00C7283E">
      <w:pPr>
        <w:pStyle w:val="ListParagraph"/>
        <w:numPr>
          <w:ilvl w:val="0"/>
          <w:numId w:val="3"/>
        </w:numPr>
        <w:tabs>
          <w:tab w:val="left" w:pos="384"/>
        </w:tabs>
        <w:spacing w:line="216" w:lineRule="exact"/>
        <w:ind w:right="137" w:hanging="283"/>
        <w:rPr>
          <w:sz w:val="18"/>
        </w:rPr>
      </w:pPr>
      <w:r>
        <w:t>Saad AA. Targeting P-selectin ligands: ushering in a new treatment paradigm for Sickle Cell Disease. Hematol Transfus Int J. 2021;9(6):134</w:t>
      </w:r>
      <w:r w:rsidRPr="00C7283E">
        <w:rPr>
          <w:rFonts w:ascii="Arial" w:hAnsi="Arial" w:cs="Arial"/>
        </w:rPr>
        <w:t>‒</w:t>
      </w:r>
      <w:r>
        <w:rPr>
          <w:rFonts w:ascii="Tw Cen MT" w:hAnsi="Tw Cen MT" w:cs="Tw Cen MT"/>
        </w:rPr>
        <w:t>136. DOI: 10.15406/htij.2021.09.0027</w:t>
      </w:r>
      <w:r>
        <w:t>0</w:t>
      </w:r>
    </w:p>
    <w:p w:rsidR="00C7283E" w:rsidRPr="00C7283E" w:rsidRDefault="00C7283E" w:rsidP="005973B9">
      <w:pPr>
        <w:pStyle w:val="ListParagraph"/>
        <w:numPr>
          <w:ilvl w:val="0"/>
          <w:numId w:val="3"/>
        </w:numPr>
        <w:tabs>
          <w:tab w:val="left" w:pos="384"/>
        </w:tabs>
        <w:spacing w:line="216" w:lineRule="exact"/>
        <w:ind w:right="138" w:hanging="283"/>
        <w:rPr>
          <w:sz w:val="18"/>
        </w:rPr>
      </w:pPr>
      <w:r>
        <w:t>Saad AAD. Recombinant lectins as pioneering anti-viral agents against COVID-19. Hematol Transfus Int J. 2021;9(4):77</w:t>
      </w:r>
      <w:r>
        <w:rPr>
          <w:rFonts w:ascii="Arial" w:hAnsi="Arial" w:cs="Arial"/>
        </w:rPr>
        <w:t>‒</w:t>
      </w:r>
      <w:r>
        <w:rPr>
          <w:rFonts w:ascii="Tw Cen MT" w:hAnsi="Tw Cen MT" w:cs="Tw Cen MT"/>
        </w:rPr>
        <w:t>79. DOI: 10.15406/htij.2021.09.0025</w:t>
      </w:r>
      <w:r>
        <w:t>9</w:t>
      </w:r>
    </w:p>
    <w:p w:rsidR="00AE3E37" w:rsidRPr="00C7283E" w:rsidRDefault="00C7283E" w:rsidP="00C7283E">
      <w:pPr>
        <w:pStyle w:val="ListParagraph"/>
        <w:numPr>
          <w:ilvl w:val="0"/>
          <w:numId w:val="3"/>
        </w:numPr>
        <w:tabs>
          <w:tab w:val="left" w:pos="384"/>
        </w:tabs>
        <w:spacing w:line="216" w:lineRule="exact"/>
        <w:ind w:right="138" w:hanging="283"/>
        <w:rPr>
          <w:sz w:val="18"/>
        </w:rPr>
        <w:sectPr w:rsidR="00AE3E37" w:rsidRPr="00C7283E" w:rsidSect="008E5477">
          <w:type w:val="continuous"/>
          <w:pgSz w:w="11910" w:h="16840"/>
          <w:pgMar w:top="995" w:right="600" w:bottom="840" w:left="620" w:header="720" w:footer="720" w:gutter="0"/>
          <w:cols w:num="2" w:space="720" w:equalWidth="0">
            <w:col w:w="5214" w:space="138"/>
            <w:col w:w="5338"/>
          </w:cols>
        </w:sectPr>
      </w:pPr>
      <w:r>
        <w:t xml:space="preserve">Ashraf Abdullah Saad (November 30th 2020). Juvenile Myelomonocytic Leukemia (JMML): A Mimicker of </w:t>
      </w:r>
      <w:r>
        <w:rPr>
          <w:rStyle w:val="Emphasis"/>
        </w:rPr>
        <w:t>KMT2A</w:t>
      </w:r>
      <w:r>
        <w:t>-Rearranged Acute Myeloid Leukemia (AML), Acute Leukemias, Pier Paolo Piccaluga, IntechOpen, DOI: 10.5772/intechopen.94537. Available from: https://www.intechopen.com/chapters/74016</w:t>
      </w:r>
    </w:p>
    <w:p w:rsidR="00AE3E37" w:rsidRDefault="00A522CD">
      <w:pPr>
        <w:pStyle w:val="BodyText"/>
        <w:rPr>
          <w:rFonts w:ascii="Calibri"/>
          <w:sz w:val="20"/>
        </w:rPr>
      </w:pPr>
      <w:r>
        <w:rPr>
          <w:rFonts w:ascii="Calibri"/>
          <w:noProof/>
          <w:sz w:val="20"/>
          <w:lang w:val="en-IN" w:eastAsia="en-IN"/>
        </w:rPr>
        <w:lastRenderedPageBreak/>
        <w:drawing>
          <wp:anchor distT="0" distB="0" distL="114300" distR="114300" simplePos="0" relativeHeight="251662336" behindDoc="0" locked="0" layoutInCell="1" allowOverlap="1">
            <wp:simplePos x="0" y="0"/>
            <wp:positionH relativeFrom="column">
              <wp:posOffset>11430</wp:posOffset>
            </wp:positionH>
            <wp:positionV relativeFrom="paragraph">
              <wp:posOffset>-556260</wp:posOffset>
            </wp:positionV>
            <wp:extent cx="1933575" cy="2392045"/>
            <wp:effectExtent l="19050" t="0" r="9525" b="0"/>
            <wp:wrapSquare wrapText="bothSides"/>
            <wp:docPr id="3" name="Picture 0" descr="ashraf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shraf3.jpg"/>
                    <pic:cNvPicPr/>
                  </pic:nvPicPr>
                  <pic:blipFill>
                    <a:blip r:embed="rId12" cstate="print"/>
                    <a:stretch>
                      <a:fillRect/>
                    </a:stretch>
                  </pic:blipFill>
                  <pic:spPr>
                    <a:xfrm>
                      <a:off x="0" y="0"/>
                      <a:ext cx="1933575" cy="2392045"/>
                    </a:xfrm>
                    <a:prstGeom prst="rect">
                      <a:avLst/>
                    </a:prstGeom>
                  </pic:spPr>
                </pic:pic>
              </a:graphicData>
            </a:graphic>
          </wp:anchor>
        </w:drawing>
      </w:r>
    </w:p>
    <w:p w:rsidR="00C7283E" w:rsidRDefault="00C7283E" w:rsidP="00C7283E">
      <w:pPr>
        <w:spacing w:before="92"/>
        <w:ind w:right="4234"/>
        <w:rPr>
          <w:rFonts w:ascii="Arial"/>
          <w:color w:val="BF5A14"/>
        </w:rPr>
      </w:pPr>
    </w:p>
    <w:p w:rsidR="00C7283E" w:rsidRDefault="00C7283E" w:rsidP="00C7283E">
      <w:pPr>
        <w:spacing w:before="92"/>
        <w:ind w:right="4234"/>
        <w:rPr>
          <w:rFonts w:ascii="Arial"/>
          <w:color w:val="BF5A14"/>
        </w:rPr>
      </w:pPr>
    </w:p>
    <w:p w:rsidR="00C7283E" w:rsidRDefault="00C7283E" w:rsidP="00C7283E">
      <w:pPr>
        <w:spacing w:before="92"/>
        <w:ind w:right="4234"/>
        <w:rPr>
          <w:rFonts w:ascii="Arial"/>
          <w:color w:val="BF5A14"/>
        </w:rPr>
      </w:pPr>
    </w:p>
    <w:p w:rsidR="00C7283E" w:rsidRDefault="00C7283E" w:rsidP="00C7283E">
      <w:pPr>
        <w:spacing w:before="92"/>
        <w:ind w:right="4234"/>
        <w:rPr>
          <w:rFonts w:ascii="Arial"/>
          <w:color w:val="BF5A14"/>
        </w:rPr>
      </w:pPr>
    </w:p>
    <w:p w:rsidR="00C7283E" w:rsidRDefault="00C7283E" w:rsidP="00C7283E">
      <w:pPr>
        <w:spacing w:before="92"/>
        <w:ind w:right="4234"/>
        <w:rPr>
          <w:rFonts w:ascii="Arial"/>
          <w:color w:val="BF5A14"/>
        </w:rPr>
      </w:pPr>
    </w:p>
    <w:p w:rsidR="00C7283E" w:rsidRDefault="00C7283E" w:rsidP="00C7283E">
      <w:pPr>
        <w:spacing w:before="92"/>
        <w:ind w:right="4234"/>
        <w:rPr>
          <w:rFonts w:ascii="Arial"/>
          <w:color w:val="BF5A14"/>
        </w:rPr>
      </w:pPr>
    </w:p>
    <w:p w:rsidR="00C7283E" w:rsidRDefault="00C7283E" w:rsidP="00C7283E">
      <w:pPr>
        <w:spacing w:before="92"/>
        <w:ind w:right="4234"/>
        <w:rPr>
          <w:rFonts w:ascii="Arial"/>
          <w:color w:val="BF5A14"/>
        </w:rPr>
      </w:pPr>
    </w:p>
    <w:p w:rsidR="00C7283E" w:rsidRDefault="00C7283E" w:rsidP="00C7283E">
      <w:pPr>
        <w:spacing w:before="92"/>
        <w:ind w:right="4234"/>
        <w:rPr>
          <w:rFonts w:ascii="Arial"/>
          <w:color w:val="BF5A14"/>
        </w:rPr>
      </w:pPr>
    </w:p>
    <w:p w:rsidR="00C7283E" w:rsidRDefault="00C7283E" w:rsidP="00C7283E">
      <w:pPr>
        <w:spacing w:before="92"/>
        <w:ind w:right="4234"/>
        <w:rPr>
          <w:rFonts w:ascii="Arial"/>
          <w:color w:val="BF5A14"/>
        </w:rPr>
      </w:pPr>
    </w:p>
    <w:p w:rsidR="00AE3E37" w:rsidRPr="00F36F29" w:rsidRDefault="00A9710C" w:rsidP="00F36F29">
      <w:pPr>
        <w:rPr>
          <w:b/>
          <w:bCs/>
          <w:color w:val="984806" w:themeColor="accent6" w:themeShade="80"/>
          <w:sz w:val="36"/>
          <w:szCs w:val="36"/>
        </w:rPr>
      </w:pPr>
      <w:r w:rsidRPr="00F36F29">
        <w:rPr>
          <w:b/>
          <w:bCs/>
          <w:color w:val="984806" w:themeColor="accent6" w:themeShade="80"/>
          <w:sz w:val="36"/>
          <w:szCs w:val="36"/>
        </w:rPr>
        <w:t>Biography</w:t>
      </w:r>
      <w:r w:rsidR="00404E5B" w:rsidRPr="00F36F29">
        <w:rPr>
          <w:b/>
          <w:bCs/>
          <w:color w:val="984806" w:themeColor="accent6" w:themeShade="80"/>
          <w:sz w:val="36"/>
          <w:szCs w:val="36"/>
        </w:rPr>
        <w:t xml:space="preserve"> </w:t>
      </w:r>
    </w:p>
    <w:p w:rsidR="00AE3E37" w:rsidRDefault="00892D21" w:rsidP="00892D21">
      <w:pPr>
        <w:rPr>
          <w:rFonts w:cstheme="minorHAnsi"/>
          <w:sz w:val="24"/>
        </w:rPr>
      </w:pPr>
      <w:r>
        <w:rPr>
          <w:rFonts w:cstheme="minorHAnsi"/>
          <w:sz w:val="24"/>
        </w:rPr>
        <w:t xml:space="preserve">Dr. </w:t>
      </w:r>
      <w:hyperlink r:id="rId13" w:history="1">
        <w:r w:rsidRPr="00177E99">
          <w:rPr>
            <w:rFonts w:cstheme="minorHAnsi"/>
            <w:sz w:val="24"/>
          </w:rPr>
          <w:t>Ashraf Abdullah Saad</w:t>
        </w:r>
      </w:hyperlink>
      <w:r>
        <w:rPr>
          <w:rFonts w:cstheme="minorHAnsi"/>
          <w:sz w:val="24"/>
        </w:rPr>
        <w:t xml:space="preserve"> is a pediatric hematologist with special interest in glycoimmunology. He aims to resurrect and rejuvenate research on the potential application of complement-dependent cytotoxicity elicited by the interactions of lectins with cancer-associated glycans as powerful and pioneering armamentarium that could lead to revolution in cancer therapeutics!. He introduced for the first time the concept of the lectin-protease conjugate that simulates the innate immune system m</w:t>
      </w:r>
      <w:r w:rsidRPr="00800DCA">
        <w:rPr>
          <w:rFonts w:cstheme="minorHAnsi"/>
          <w:sz w:val="24"/>
        </w:rPr>
        <w:t>annose-binding lectin and its associated proteases (MASPs)</w:t>
      </w:r>
      <w:r>
        <w:rPr>
          <w:rFonts w:cstheme="minorHAnsi"/>
          <w:sz w:val="24"/>
        </w:rPr>
        <w:t xml:space="preserve"> and proposed it as pioneering cancer immunotherapy. This innovation is part of Dr. Ashraf’s inspirational mind trending thoughts that aim for ‘</w:t>
      </w:r>
      <w:r w:rsidRPr="0019294F">
        <w:rPr>
          <w:rFonts w:cstheme="minorHAnsi"/>
          <w:sz w:val="24"/>
        </w:rPr>
        <w:t>Research in fantasy until fantasy becomes a reality!’.</w:t>
      </w:r>
    </w:p>
    <w:p w:rsidR="00892D21" w:rsidRDefault="00892D21" w:rsidP="00892D21">
      <w:pPr>
        <w:rPr>
          <w:rFonts w:cstheme="minorHAnsi"/>
          <w:sz w:val="24"/>
        </w:rPr>
      </w:pPr>
    </w:p>
    <w:p w:rsidR="00AE3E37" w:rsidRDefault="000502CD">
      <w:pPr>
        <w:pStyle w:val="BodyText"/>
        <w:spacing w:before="2"/>
        <w:rPr>
          <w:rFonts w:ascii="Arial"/>
          <w:sz w:val="19"/>
        </w:rPr>
      </w:pPr>
      <w:r>
        <w:rPr>
          <w:noProof/>
          <w:lang w:val="en-IN" w:eastAsia="en-IN"/>
        </w:rPr>
        <mc:AlternateContent>
          <mc:Choice Requires="wps">
            <w:drawing>
              <wp:anchor distT="4294967295" distB="4294967295" distL="0" distR="0" simplePos="0" relativeHeight="1072" behindDoc="0" locked="0" layoutInCell="1" allowOverlap="1">
                <wp:simplePos x="0" y="0"/>
                <wp:positionH relativeFrom="page">
                  <wp:posOffset>2058670</wp:posOffset>
                </wp:positionH>
                <wp:positionV relativeFrom="paragraph">
                  <wp:posOffset>168274</wp:posOffset>
                </wp:positionV>
                <wp:extent cx="3442335" cy="0"/>
                <wp:effectExtent l="0" t="0" r="24765" b="1905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F36F29" w:rsidRDefault="00AE3E37" w:rsidP="00F36F29">
      <w:pPr>
        <w:rPr>
          <w:b/>
          <w:bCs/>
          <w:color w:val="984806" w:themeColor="accent6" w:themeShade="80"/>
          <w:sz w:val="36"/>
          <w:szCs w:val="36"/>
        </w:rPr>
      </w:pPr>
    </w:p>
    <w:p w:rsidR="00F046EA" w:rsidRPr="007F35F5" w:rsidRDefault="00F046EA" w:rsidP="00F046EA">
      <w:pPr>
        <w:jc w:val="both"/>
        <w:rPr>
          <w:b/>
          <w:bCs/>
          <w:color w:val="984806" w:themeColor="accent6" w:themeShade="80"/>
          <w:sz w:val="36"/>
          <w:szCs w:val="36"/>
        </w:rPr>
      </w:pPr>
      <w:r w:rsidRPr="007F35F5">
        <w:rPr>
          <w:b/>
          <w:bCs/>
          <w:color w:val="984806" w:themeColor="accent6" w:themeShade="80"/>
          <w:sz w:val="36"/>
          <w:szCs w:val="36"/>
        </w:rPr>
        <w:t xml:space="preserve">Presenting author details </w:t>
      </w:r>
    </w:p>
    <w:p w:rsidR="00F046EA" w:rsidRPr="00C7283E" w:rsidRDefault="00F046EA" w:rsidP="00F046EA">
      <w:pPr>
        <w:jc w:val="both"/>
        <w:rPr>
          <w:rFonts w:cstheme="minorHAnsi"/>
          <w:sz w:val="24"/>
        </w:rPr>
      </w:pPr>
      <w:r w:rsidRPr="00C7283E">
        <w:rPr>
          <w:rFonts w:cstheme="minorHAnsi"/>
          <w:sz w:val="24"/>
        </w:rPr>
        <w:t xml:space="preserve">Full name: </w:t>
      </w:r>
      <w:r w:rsidR="00892D21" w:rsidRPr="00C7283E">
        <w:rPr>
          <w:rFonts w:cstheme="minorHAnsi"/>
          <w:sz w:val="24"/>
        </w:rPr>
        <w:t>Ashraf Abdullah Saad</w:t>
      </w:r>
    </w:p>
    <w:p w:rsidR="00F046EA" w:rsidRPr="00C7283E" w:rsidRDefault="00F046EA" w:rsidP="00F046EA">
      <w:pPr>
        <w:jc w:val="both"/>
        <w:rPr>
          <w:rFonts w:cstheme="minorHAnsi"/>
          <w:sz w:val="24"/>
        </w:rPr>
      </w:pPr>
      <w:r w:rsidRPr="00C7283E">
        <w:rPr>
          <w:rFonts w:cstheme="minorHAnsi"/>
          <w:sz w:val="24"/>
        </w:rPr>
        <w:t>Contact number:</w:t>
      </w:r>
      <w:r w:rsidR="00892D21" w:rsidRPr="00C7283E">
        <w:rPr>
          <w:rFonts w:cstheme="minorHAnsi"/>
          <w:sz w:val="24"/>
        </w:rPr>
        <w:t xml:space="preserve"> 00968 92538040</w:t>
      </w:r>
    </w:p>
    <w:p w:rsidR="00F36F29" w:rsidRDefault="00F36F29" w:rsidP="00892D21">
      <w:pPr>
        <w:jc w:val="both"/>
        <w:rPr>
          <w:rFonts w:cstheme="minorHAnsi"/>
          <w:sz w:val="24"/>
        </w:rPr>
      </w:pPr>
      <w:r w:rsidRPr="00F36F29">
        <w:rPr>
          <w:rFonts w:cstheme="minorHAnsi"/>
          <w:sz w:val="24"/>
        </w:rPr>
        <w:t xml:space="preserve">Email: </w:t>
      </w:r>
      <w:hyperlink r:id="rId14" w:history="1">
        <w:r w:rsidRPr="00825637">
          <w:rPr>
            <w:rStyle w:val="Hyperlink"/>
            <w:rFonts w:cstheme="minorHAnsi"/>
            <w:sz w:val="24"/>
          </w:rPr>
          <w:t>dr.ashraf123321@gmail.com</w:t>
        </w:r>
      </w:hyperlink>
    </w:p>
    <w:p w:rsidR="00F046EA" w:rsidRPr="00C7283E" w:rsidRDefault="00892D21" w:rsidP="00892D21">
      <w:pPr>
        <w:jc w:val="both"/>
        <w:rPr>
          <w:rFonts w:cstheme="minorHAnsi"/>
          <w:sz w:val="24"/>
        </w:rPr>
      </w:pPr>
      <w:r w:rsidRPr="00C7283E">
        <w:rPr>
          <w:rFonts w:cstheme="minorHAnsi"/>
          <w:sz w:val="24"/>
        </w:rPr>
        <w:t>Category: Oral presentation.</w:t>
      </w:r>
    </w:p>
    <w:p w:rsidR="00AE3E37" w:rsidRPr="00C7283E" w:rsidRDefault="00AE3E37">
      <w:pPr>
        <w:pStyle w:val="BodyText"/>
        <w:spacing w:before="3"/>
        <w:rPr>
          <w:rFonts w:cstheme="minorHAnsi"/>
          <w:sz w:val="24"/>
          <w:szCs w:val="22"/>
        </w:rPr>
      </w:pPr>
    </w:p>
    <w:sectPr w:rsidR="00AE3E37" w:rsidRPr="00C7283E"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3DB6" w:rsidRDefault="00643DB6">
      <w:r>
        <w:separator/>
      </w:r>
    </w:p>
  </w:endnote>
  <w:endnote w:type="continuationSeparator" w:id="0">
    <w:p w:rsidR="00643DB6" w:rsidRDefault="00643D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altName w:val="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0502CD">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0" r="16510" b="1778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0" t="0" r="13970" b="698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0" t="0" r="1270" b="1206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3DB6" w:rsidRDefault="00643DB6">
      <w:r>
        <w:separator/>
      </w:r>
    </w:p>
  </w:footnote>
  <w:footnote w:type="continuationSeparator" w:id="0">
    <w:p w:rsidR="00643DB6" w:rsidRDefault="00643DB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48EE0BD0"/>
    <w:multiLevelType w:val="multilevel"/>
    <w:tmpl w:val="D96805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1602"/>
    <w:rsid w:val="000502CD"/>
    <w:rsid w:val="000E2911"/>
    <w:rsid w:val="001263DF"/>
    <w:rsid w:val="00292ED9"/>
    <w:rsid w:val="00351D9B"/>
    <w:rsid w:val="00380299"/>
    <w:rsid w:val="00404E5B"/>
    <w:rsid w:val="00414F7B"/>
    <w:rsid w:val="004355DC"/>
    <w:rsid w:val="004749B4"/>
    <w:rsid w:val="00494130"/>
    <w:rsid w:val="004A49C2"/>
    <w:rsid w:val="004F3523"/>
    <w:rsid w:val="005973B9"/>
    <w:rsid w:val="005B3A56"/>
    <w:rsid w:val="006060CE"/>
    <w:rsid w:val="0061505C"/>
    <w:rsid w:val="0063497F"/>
    <w:rsid w:val="00643DB6"/>
    <w:rsid w:val="00714354"/>
    <w:rsid w:val="007D2083"/>
    <w:rsid w:val="007D76C9"/>
    <w:rsid w:val="007F35F5"/>
    <w:rsid w:val="00873DF0"/>
    <w:rsid w:val="008756E6"/>
    <w:rsid w:val="00892D21"/>
    <w:rsid w:val="00897EC5"/>
    <w:rsid w:val="008E5477"/>
    <w:rsid w:val="009B2D44"/>
    <w:rsid w:val="00A07E82"/>
    <w:rsid w:val="00A52075"/>
    <w:rsid w:val="00A522CD"/>
    <w:rsid w:val="00A9710C"/>
    <w:rsid w:val="00AE3E37"/>
    <w:rsid w:val="00B21A57"/>
    <w:rsid w:val="00B34F0E"/>
    <w:rsid w:val="00C33602"/>
    <w:rsid w:val="00C56C74"/>
    <w:rsid w:val="00C7283E"/>
    <w:rsid w:val="00CD6F55"/>
    <w:rsid w:val="00DE3104"/>
    <w:rsid w:val="00DE6170"/>
    <w:rsid w:val="00E30AAC"/>
    <w:rsid w:val="00E95D97"/>
    <w:rsid w:val="00F046EA"/>
    <w:rsid w:val="00F36F29"/>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Emphasis">
    <w:name w:val="Emphasis"/>
    <w:basedOn w:val="DefaultParagraphFont"/>
    <w:uiPriority w:val="20"/>
    <w:qFormat/>
    <w:rsid w:val="00C7283E"/>
    <w:rPr>
      <w:i/>
      <w:iCs/>
    </w:rPr>
  </w:style>
  <w:style w:type="character" w:customStyle="1" w:styleId="authors">
    <w:name w:val="authors"/>
    <w:basedOn w:val="DefaultParagraphFont"/>
    <w:rsid w:val="00F36F29"/>
  </w:style>
  <w:style w:type="character" w:customStyle="1" w:styleId="Date1">
    <w:name w:val="Date1"/>
    <w:basedOn w:val="DefaultParagraphFont"/>
    <w:rsid w:val="00F36F29"/>
  </w:style>
  <w:style w:type="character" w:customStyle="1" w:styleId="arttitle">
    <w:name w:val="art_title"/>
    <w:basedOn w:val="DefaultParagraphFont"/>
    <w:rsid w:val="00F36F29"/>
  </w:style>
  <w:style w:type="character" w:customStyle="1" w:styleId="serialtitle">
    <w:name w:val="serial_title"/>
    <w:basedOn w:val="DefaultParagraphFont"/>
    <w:rsid w:val="00F36F29"/>
  </w:style>
  <w:style w:type="character" w:customStyle="1" w:styleId="volumeissue">
    <w:name w:val="volume_issue"/>
    <w:basedOn w:val="DefaultParagraphFont"/>
    <w:rsid w:val="00F36F29"/>
  </w:style>
  <w:style w:type="character" w:customStyle="1" w:styleId="pagerange">
    <w:name w:val="page_range"/>
    <w:basedOn w:val="DefaultParagraphFont"/>
    <w:rsid w:val="00F36F29"/>
  </w:style>
  <w:style w:type="character" w:customStyle="1" w:styleId="doilink">
    <w:name w:val="doi_link"/>
    <w:basedOn w:val="DefaultParagraphFont"/>
    <w:rsid w:val="00F36F2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Emphasis">
    <w:name w:val="Emphasis"/>
    <w:basedOn w:val="DefaultParagraphFont"/>
    <w:uiPriority w:val="20"/>
    <w:qFormat/>
    <w:rsid w:val="00C7283E"/>
    <w:rPr>
      <w:i/>
      <w:iCs/>
    </w:rPr>
  </w:style>
  <w:style w:type="character" w:customStyle="1" w:styleId="authors">
    <w:name w:val="authors"/>
    <w:basedOn w:val="DefaultParagraphFont"/>
    <w:rsid w:val="00F36F29"/>
  </w:style>
  <w:style w:type="character" w:customStyle="1" w:styleId="Date1">
    <w:name w:val="Date1"/>
    <w:basedOn w:val="DefaultParagraphFont"/>
    <w:rsid w:val="00F36F29"/>
  </w:style>
  <w:style w:type="character" w:customStyle="1" w:styleId="arttitle">
    <w:name w:val="art_title"/>
    <w:basedOn w:val="DefaultParagraphFont"/>
    <w:rsid w:val="00F36F29"/>
  </w:style>
  <w:style w:type="character" w:customStyle="1" w:styleId="serialtitle">
    <w:name w:val="serial_title"/>
    <w:basedOn w:val="DefaultParagraphFont"/>
    <w:rsid w:val="00F36F29"/>
  </w:style>
  <w:style w:type="character" w:customStyle="1" w:styleId="volumeissue">
    <w:name w:val="volume_issue"/>
    <w:basedOn w:val="DefaultParagraphFont"/>
    <w:rsid w:val="00F36F29"/>
  </w:style>
  <w:style w:type="character" w:customStyle="1" w:styleId="pagerange">
    <w:name w:val="page_range"/>
    <w:basedOn w:val="DefaultParagraphFont"/>
    <w:rsid w:val="00F36F29"/>
  </w:style>
  <w:style w:type="character" w:customStyle="1" w:styleId="doilink">
    <w:name w:val="doi_link"/>
    <w:basedOn w:val="DefaultParagraphFont"/>
    <w:rsid w:val="00F36F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496921460">
      <w:bodyDiv w:val="1"/>
      <w:marLeft w:val="0"/>
      <w:marRight w:val="0"/>
      <w:marTop w:val="0"/>
      <w:marBottom w:val="0"/>
      <w:divBdr>
        <w:top w:val="none" w:sz="0" w:space="0" w:color="auto"/>
        <w:left w:val="none" w:sz="0" w:space="0" w:color="auto"/>
        <w:bottom w:val="none" w:sz="0" w:space="0" w:color="auto"/>
        <w:right w:val="none" w:sz="0" w:space="0" w:color="auto"/>
      </w:divBdr>
      <w:divsChild>
        <w:div w:id="43240855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tandfonline.com/author/Saad%2C+Ashraf+Abdullah" TargetMode="External"/><Relationship Id="rId13" Type="http://schemas.openxmlformats.org/officeDocument/2006/relationships/hyperlink" Target="https://www.tandfonline.com/author/Saad%2C+Ashraf+Abdullah"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doi.org/10.1080/26895293.2022.2049901"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dr.ashraf123321@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573</Words>
  <Characters>3267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Asia Pacific Dental And Oral Care Congress</cp:lastModifiedBy>
  <cp:revision>2</cp:revision>
  <dcterms:created xsi:type="dcterms:W3CDTF">2023-01-09T07:25:00Z</dcterms:created>
  <dcterms:modified xsi:type="dcterms:W3CDTF">2023-01-09T07:25:00Z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