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sz w:val="20"/>
        </w:rPr>
      </w:pPr>
    </w:p>
    <w:p>
      <w:pPr>
        <w:pStyle w:val="Title"/>
      </w:pPr>
      <w:r>
        <w:rPr/>
        <w:t>The</w:t>
      </w:r>
      <w:r>
        <w:rPr>
          <w:spacing w:val="-2"/>
        </w:rPr>
        <w:t> </w:t>
      </w:r>
      <w:r>
        <w:rPr/>
        <w:t>Impact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Contact</w:t>
      </w:r>
      <w:r>
        <w:rPr>
          <w:spacing w:val="-1"/>
        </w:rPr>
        <w:t> </w:t>
      </w:r>
      <w:r>
        <w:rPr/>
        <w:t>Lens</w:t>
      </w:r>
      <w:r>
        <w:rPr>
          <w:spacing w:val="-1"/>
        </w:rPr>
        <w:t> </w:t>
      </w:r>
      <w:r>
        <w:rPr/>
        <w:t>Discomfort on</w:t>
      </w:r>
      <w:r>
        <w:rPr>
          <w:spacing w:val="-1"/>
        </w:rPr>
        <w:t> </w:t>
      </w:r>
      <w:r>
        <w:rPr/>
        <w:t>Quality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Life</w:t>
      </w:r>
      <w:r>
        <w:rPr>
          <w:spacing w:val="-1"/>
        </w:rPr>
        <w:t> </w:t>
      </w:r>
      <w:r>
        <w:rPr/>
        <w:t>Dimensions</w:t>
      </w:r>
    </w:p>
    <w:p>
      <w:pPr>
        <w:pStyle w:val="BodyText"/>
        <w:spacing w:before="115"/>
        <w:ind w:left="119" w:right="434"/>
      </w:pPr>
      <w:r>
        <w:rPr>
          <w:spacing w:val="-1"/>
        </w:rPr>
        <w:t>Leyla Mirzaee</w:t>
      </w:r>
      <w:r>
        <w:rPr>
          <w:spacing w:val="-1"/>
          <w:vertAlign w:val="superscript"/>
        </w:rPr>
        <w:t>1,2</w:t>
      </w:r>
      <w:r>
        <w:rPr>
          <w:spacing w:val="-1"/>
          <w:vertAlign w:val="baseline"/>
        </w:rPr>
        <w:t>, Akhil Mekka</w:t>
      </w:r>
      <w:r>
        <w:rPr>
          <w:spacing w:val="-1"/>
          <w:vertAlign w:val="superscript"/>
        </w:rPr>
        <w:t>1,2</w:t>
      </w:r>
      <w:r>
        <w:rPr>
          <w:spacing w:val="-1"/>
          <w:vertAlign w:val="baseline"/>
        </w:rPr>
        <w:t>, Cecilia </w:t>
      </w:r>
      <w:r>
        <w:rPr>
          <w:vertAlign w:val="baseline"/>
        </w:rPr>
        <w:t>Chao,</w:t>
      </w:r>
      <w:r>
        <w:rPr>
          <w:vertAlign w:val="superscript"/>
        </w:rPr>
        <w:t>1</w:t>
      </w:r>
      <w:r>
        <w:rPr>
          <w:vertAlign w:val="baseline"/>
        </w:rPr>
        <w:t> Gabriella Dieckmann,</w:t>
      </w:r>
      <w:r>
        <w:rPr>
          <w:vertAlign w:val="superscript"/>
        </w:rPr>
        <w:t>1,</w:t>
      </w:r>
      <w:r>
        <w:rPr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 Yashar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Seyed-Razavi,</w:t>
      </w:r>
      <w:r>
        <w:rPr>
          <w:spacing w:val="-1"/>
          <w:vertAlign w:val="superscript"/>
        </w:rPr>
        <w:t>1</w:t>
      </w:r>
      <w:r>
        <w:rPr>
          <w:vertAlign w:val="baseline"/>
        </w:rPr>
        <w:t> </w:t>
      </w:r>
      <w:r>
        <w:rPr>
          <w:spacing w:val="-1"/>
          <w:vertAlign w:val="baseline"/>
        </w:rPr>
        <w:t>Neslihan</w:t>
      </w:r>
      <w:r>
        <w:rPr>
          <w:vertAlign w:val="baseline"/>
        </w:rPr>
        <w:t> </w:t>
      </w:r>
      <w:r>
        <w:rPr>
          <w:spacing w:val="-1"/>
          <w:vertAlign w:val="baseline"/>
        </w:rPr>
        <w:t>Dilruba </w:t>
      </w:r>
      <w:r>
        <w:rPr>
          <w:vertAlign w:val="baseline"/>
        </w:rPr>
        <w:t>Koseoglu,</w:t>
      </w:r>
      <w:r>
        <w:rPr>
          <w:vertAlign w:val="superscript"/>
        </w:rPr>
        <w:t>1,</w:t>
      </w:r>
      <w:r>
        <w:rPr>
          <w:spacing w:val="-20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 Arsia</w:t>
      </w:r>
      <w:r>
        <w:rPr>
          <w:spacing w:val="-1"/>
          <w:vertAlign w:val="baseline"/>
        </w:rPr>
        <w:t> </w:t>
      </w:r>
      <w:r>
        <w:rPr>
          <w:vertAlign w:val="baseline"/>
        </w:rPr>
        <w:t>Jamali,</w:t>
      </w:r>
      <w:r>
        <w:rPr>
          <w:vertAlign w:val="superscript"/>
        </w:rPr>
        <w:t>1</w:t>
      </w:r>
      <w:r>
        <w:rPr>
          <w:vertAlign w:val="baseline"/>
        </w:rPr>
        <w:t> Ricardo Nose,</w:t>
      </w:r>
      <w:r>
        <w:rPr>
          <w:vertAlign w:val="superscript"/>
        </w:rPr>
        <w:t>1,</w:t>
      </w:r>
      <w:r>
        <w:rPr>
          <w:spacing w:val="-20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 Anam</w:t>
      </w:r>
      <w:r>
        <w:rPr>
          <w:spacing w:val="-57"/>
          <w:vertAlign w:val="baseline"/>
        </w:rPr>
        <w:t> </w:t>
      </w:r>
      <w:r>
        <w:rPr>
          <w:spacing w:val="-1"/>
          <w:vertAlign w:val="baseline"/>
        </w:rPr>
        <w:t>Akhlaq,</w:t>
      </w:r>
      <w:r>
        <w:rPr>
          <w:spacing w:val="-1"/>
          <w:vertAlign w:val="superscript"/>
        </w:rPr>
        <w:t>1,</w:t>
      </w:r>
      <w:r>
        <w:rPr>
          <w:spacing w:val="-20"/>
          <w:vertAlign w:val="baseline"/>
        </w:rPr>
        <w:t> </w:t>
      </w:r>
      <w:r>
        <w:rPr>
          <w:spacing w:val="-1"/>
          <w:vertAlign w:val="superscript"/>
        </w:rPr>
        <w:t>2</w:t>
      </w:r>
      <w:r>
        <w:rPr>
          <w:vertAlign w:val="baseline"/>
        </w:rPr>
        <w:t> </w:t>
      </w:r>
      <w:r>
        <w:rPr>
          <w:spacing w:val="-1"/>
          <w:vertAlign w:val="baseline"/>
        </w:rPr>
        <w:t>Afsun</w:t>
      </w:r>
      <w:r>
        <w:rPr>
          <w:vertAlign w:val="baseline"/>
        </w:rPr>
        <w:t> </w:t>
      </w:r>
      <w:r>
        <w:rPr>
          <w:spacing w:val="-1"/>
          <w:vertAlign w:val="baseline"/>
        </w:rPr>
        <w:t>Sahin,</w:t>
      </w:r>
      <w:r>
        <w:rPr>
          <w:spacing w:val="-1"/>
          <w:vertAlign w:val="superscript"/>
        </w:rPr>
        <w:t>1</w:t>
      </w:r>
      <w:r>
        <w:rPr>
          <w:vertAlign w:val="baseline"/>
        </w:rPr>
        <w:t> and Pedram Hamrah</w:t>
      </w:r>
      <w:r>
        <w:rPr>
          <w:vertAlign w:val="superscript"/>
        </w:rPr>
        <w:t>1,2</w:t>
      </w:r>
    </w:p>
    <w:p>
      <w:pPr>
        <w:spacing w:line="235" w:lineRule="auto" w:before="10"/>
        <w:ind w:left="328" w:right="321" w:firstLine="0"/>
        <w:jc w:val="center"/>
        <w:rPr>
          <w:sz w:val="20"/>
        </w:rPr>
      </w:pPr>
      <w:r>
        <w:rPr>
          <w:sz w:val="20"/>
        </w:rPr>
        <w:t>¹Center for Translational Ocular Immunology, Department of Ophthalmology, Tufts Medical Center,</w:t>
      </w:r>
      <w:r>
        <w:rPr>
          <w:spacing w:val="-47"/>
          <w:sz w:val="20"/>
        </w:rPr>
        <w:t> </w:t>
      </w:r>
      <w:r>
        <w:rPr>
          <w:sz w:val="20"/>
        </w:rPr>
        <w:t>Tufts</w:t>
      </w:r>
      <w:r>
        <w:rPr>
          <w:spacing w:val="-2"/>
          <w:sz w:val="20"/>
        </w:rPr>
        <w:t> </w:t>
      </w:r>
      <w:r>
        <w:rPr>
          <w:sz w:val="20"/>
        </w:rPr>
        <w:t>University</w:t>
      </w:r>
      <w:r>
        <w:rPr>
          <w:spacing w:val="-1"/>
          <w:sz w:val="20"/>
        </w:rPr>
        <w:t> </w:t>
      </w:r>
      <w:r>
        <w:rPr>
          <w:sz w:val="20"/>
        </w:rPr>
        <w:t>School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Medicine,</w:t>
      </w:r>
      <w:r>
        <w:rPr>
          <w:spacing w:val="-1"/>
          <w:sz w:val="20"/>
        </w:rPr>
        <w:t> </w:t>
      </w:r>
      <w:r>
        <w:rPr>
          <w:sz w:val="20"/>
        </w:rPr>
        <w:t>Boston,</w:t>
      </w:r>
      <w:r>
        <w:rPr>
          <w:spacing w:val="-2"/>
          <w:sz w:val="20"/>
        </w:rPr>
        <w:t> </w:t>
      </w:r>
      <w:r>
        <w:rPr>
          <w:sz w:val="20"/>
        </w:rPr>
        <w:t>Massachusetts,</w:t>
      </w:r>
      <w:r>
        <w:rPr>
          <w:spacing w:val="-1"/>
          <w:sz w:val="20"/>
        </w:rPr>
        <w:t> </w:t>
      </w:r>
      <w:r>
        <w:rPr>
          <w:sz w:val="20"/>
        </w:rPr>
        <w:t>USA</w:t>
      </w:r>
    </w:p>
    <w:p>
      <w:pPr>
        <w:spacing w:before="2"/>
        <w:ind w:left="209" w:right="203" w:firstLine="0"/>
        <w:jc w:val="center"/>
        <w:rPr>
          <w:sz w:val="20"/>
        </w:rPr>
      </w:pPr>
      <w:r>
        <w:rPr>
          <w:sz w:val="20"/>
        </w:rPr>
        <w:t>²Cornea Service, New England Eye Center, Department of Ophthalmology, Tufts Medical Center, Tufts</w:t>
      </w:r>
      <w:r>
        <w:rPr>
          <w:spacing w:val="-47"/>
          <w:sz w:val="20"/>
        </w:rPr>
        <w:t> </w:t>
      </w:r>
      <w:r>
        <w:rPr>
          <w:sz w:val="20"/>
        </w:rPr>
        <w:t>University</w:t>
      </w:r>
      <w:r>
        <w:rPr>
          <w:spacing w:val="-2"/>
          <w:sz w:val="20"/>
        </w:rPr>
        <w:t> </w:t>
      </w:r>
      <w:r>
        <w:rPr>
          <w:sz w:val="20"/>
        </w:rPr>
        <w:t>School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Medicine,</w:t>
      </w:r>
      <w:r>
        <w:rPr>
          <w:spacing w:val="-1"/>
          <w:sz w:val="20"/>
        </w:rPr>
        <w:t> </w:t>
      </w:r>
      <w:r>
        <w:rPr>
          <w:sz w:val="20"/>
        </w:rPr>
        <w:t>Boston,</w:t>
      </w:r>
      <w:r>
        <w:rPr>
          <w:spacing w:val="-1"/>
          <w:sz w:val="20"/>
        </w:rPr>
        <w:t> </w:t>
      </w:r>
      <w:r>
        <w:rPr>
          <w:sz w:val="20"/>
        </w:rPr>
        <w:t>Massachusetts,</w:t>
      </w:r>
      <w:r>
        <w:rPr>
          <w:spacing w:val="-1"/>
          <w:sz w:val="20"/>
        </w:rPr>
        <w:t> </w:t>
      </w:r>
      <w:r>
        <w:rPr>
          <w:sz w:val="20"/>
        </w:rPr>
        <w:t>USA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242" w:lineRule="auto"/>
        <w:ind w:left="119"/>
      </w:pPr>
      <w:r>
        <w:rPr>
          <w:b/>
        </w:rPr>
        <w:t>Purpose:</w:t>
      </w:r>
      <w:r>
        <w:rPr>
          <w:b/>
          <w:spacing w:val="1"/>
        </w:rPr>
        <w:t> </w:t>
      </w:r>
      <w:r>
        <w:rPr/>
        <w:t>We</w:t>
      </w:r>
      <w:r>
        <w:rPr>
          <w:spacing w:val="2"/>
        </w:rPr>
        <w:t> </w:t>
      </w:r>
      <w:r>
        <w:rPr/>
        <w:t>aim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evaluate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impact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contact</w:t>
      </w:r>
      <w:r>
        <w:rPr>
          <w:spacing w:val="2"/>
        </w:rPr>
        <w:t> </w:t>
      </w:r>
      <w:r>
        <w:rPr/>
        <w:t>lens</w:t>
      </w:r>
      <w:r>
        <w:rPr>
          <w:spacing w:val="2"/>
        </w:rPr>
        <w:t> </w:t>
      </w:r>
      <w:r>
        <w:rPr/>
        <w:t>discomfort</w:t>
      </w:r>
      <w:r>
        <w:rPr>
          <w:spacing w:val="1"/>
        </w:rPr>
        <w:t> </w:t>
      </w:r>
      <w:r>
        <w:rPr/>
        <w:t>(CLD)</w:t>
      </w:r>
      <w:r>
        <w:rPr>
          <w:spacing w:val="2"/>
        </w:rPr>
        <w:t> </w:t>
      </w:r>
      <w:r>
        <w:rPr/>
        <w:t>on</w:t>
      </w:r>
      <w:r>
        <w:rPr>
          <w:spacing w:val="2"/>
        </w:rPr>
        <w:t> </w:t>
      </w:r>
      <w:r>
        <w:rPr/>
        <w:t>quality</w:t>
      </w:r>
      <w:r>
        <w:rPr>
          <w:spacing w:val="1"/>
        </w:rPr>
        <w:t> </w:t>
      </w:r>
      <w:r>
        <w:rPr/>
        <w:t>of</w:t>
      </w:r>
      <w:r>
        <w:rPr>
          <w:spacing w:val="-57"/>
        </w:rPr>
        <w:t> </w:t>
      </w:r>
      <w:r>
        <w:rPr/>
        <w:t>life</w:t>
      </w:r>
      <w:r>
        <w:rPr>
          <w:spacing w:val="-2"/>
        </w:rPr>
        <w:t> </w:t>
      </w:r>
      <w:r>
        <w:rPr/>
        <w:t>(QoL) dimensions.</w:t>
      </w:r>
    </w:p>
    <w:p>
      <w:pPr>
        <w:pStyle w:val="BodyText"/>
        <w:spacing w:before="191"/>
        <w:ind w:left="119" w:right="113"/>
        <w:jc w:val="both"/>
      </w:pPr>
      <w:r>
        <w:rPr>
          <w:b/>
        </w:rPr>
        <w:t>Methods:</w:t>
      </w:r>
      <w:r>
        <w:rPr>
          <w:b/>
          <w:spacing w:val="-7"/>
        </w:rPr>
        <w:t> </w:t>
      </w:r>
      <w:r>
        <w:rPr/>
        <w:t>This</w:t>
      </w:r>
      <w:r>
        <w:rPr>
          <w:spacing w:val="-7"/>
        </w:rPr>
        <w:t> </w:t>
      </w:r>
      <w:r>
        <w:rPr/>
        <w:t>prospective,</w:t>
      </w:r>
      <w:r>
        <w:rPr>
          <w:spacing w:val="-7"/>
        </w:rPr>
        <w:t> </w:t>
      </w:r>
      <w:r>
        <w:rPr/>
        <w:t>cross-sectional,</w:t>
      </w:r>
      <w:r>
        <w:rPr>
          <w:spacing w:val="-7"/>
        </w:rPr>
        <w:t> </w:t>
      </w:r>
      <w:r>
        <w:rPr/>
        <w:t>controlled,</w:t>
      </w:r>
      <w:r>
        <w:rPr>
          <w:spacing w:val="-7"/>
        </w:rPr>
        <w:t> </w:t>
      </w:r>
      <w:r>
        <w:rPr/>
        <w:t>included</w:t>
      </w:r>
      <w:r>
        <w:rPr>
          <w:spacing w:val="-6"/>
        </w:rPr>
        <w:t> </w:t>
      </w:r>
      <w:r>
        <w:rPr/>
        <w:t>91</w:t>
      </w:r>
      <w:r>
        <w:rPr>
          <w:spacing w:val="-7"/>
        </w:rPr>
        <w:t> </w:t>
      </w:r>
      <w:r>
        <w:rPr/>
        <w:t>subjects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5</w:t>
      </w:r>
      <w:r>
        <w:rPr>
          <w:spacing w:val="-7"/>
        </w:rPr>
        <w:t> </w:t>
      </w:r>
      <w:r>
        <w:rPr/>
        <w:t>groups:</w:t>
      </w:r>
      <w:r>
        <w:rPr>
          <w:spacing w:val="-57"/>
        </w:rPr>
        <w:t> </w:t>
      </w:r>
      <w:r>
        <w:rPr/>
        <w:t>controls (n=18), asymptomatic (n=18), symptomatic (n=19), intolerant CLW (n=18),</w:t>
      </w:r>
      <w:r>
        <w:rPr>
          <w:spacing w:val="1"/>
        </w:rPr>
        <w:t> </w:t>
      </w:r>
      <w:r>
        <w:rPr/>
        <w:t>neuropathic</w:t>
      </w:r>
      <w:r>
        <w:rPr>
          <w:spacing w:val="-13"/>
        </w:rPr>
        <w:t> </w:t>
      </w:r>
      <w:r>
        <w:rPr/>
        <w:t>corneal</w:t>
      </w:r>
      <w:r>
        <w:rPr>
          <w:spacing w:val="-13"/>
        </w:rPr>
        <w:t> </w:t>
      </w:r>
      <w:r>
        <w:rPr/>
        <w:t>pain</w:t>
      </w:r>
      <w:r>
        <w:rPr>
          <w:spacing w:val="-12"/>
        </w:rPr>
        <w:t> </w:t>
      </w:r>
      <w:r>
        <w:rPr/>
        <w:t>(NCP;</w:t>
      </w:r>
      <w:r>
        <w:rPr>
          <w:spacing w:val="-13"/>
        </w:rPr>
        <w:t> </w:t>
      </w:r>
      <w:r>
        <w:rPr/>
        <w:t>n=18).</w:t>
      </w:r>
      <w:r>
        <w:rPr>
          <w:spacing w:val="-13"/>
        </w:rPr>
        <w:t> </w:t>
      </w:r>
      <w:r>
        <w:rPr/>
        <w:t>Ocular</w:t>
      </w:r>
      <w:r>
        <w:rPr>
          <w:spacing w:val="-13"/>
        </w:rPr>
        <w:t> </w:t>
      </w:r>
      <w:r>
        <w:rPr/>
        <w:t>pain</w:t>
      </w:r>
      <w:r>
        <w:rPr>
          <w:spacing w:val="-12"/>
        </w:rPr>
        <w:t> </w:t>
      </w:r>
      <w:r>
        <w:rPr/>
        <w:t>was</w:t>
      </w:r>
      <w:r>
        <w:rPr>
          <w:spacing w:val="-13"/>
        </w:rPr>
        <w:t> </w:t>
      </w:r>
      <w:r>
        <w:rPr/>
        <w:t>assessed</w:t>
      </w:r>
      <w:r>
        <w:rPr>
          <w:spacing w:val="-13"/>
        </w:rPr>
        <w:t> </w:t>
      </w:r>
      <w:r>
        <w:rPr/>
        <w:t>by</w:t>
      </w:r>
      <w:r>
        <w:rPr>
          <w:spacing w:val="-12"/>
        </w:rPr>
        <w:t> </w:t>
      </w:r>
      <w:r>
        <w:rPr/>
        <w:t>visual</w:t>
      </w:r>
      <w:r>
        <w:rPr>
          <w:spacing w:val="-13"/>
        </w:rPr>
        <w:t> </w:t>
      </w:r>
      <w:r>
        <w:rPr/>
        <w:t>analogue</w:t>
      </w:r>
      <w:r>
        <w:rPr>
          <w:spacing w:val="-13"/>
        </w:rPr>
        <w:t> </w:t>
      </w:r>
      <w:r>
        <w:rPr/>
        <w:t>scale</w:t>
      </w:r>
      <w:r>
        <w:rPr>
          <w:spacing w:val="-57"/>
        </w:rPr>
        <w:t> </w:t>
      </w:r>
      <w:r>
        <w:rPr/>
        <w:t>and QoL dimensions using Ocular Pain Assessment Survey (0-10)</w:t>
      </w:r>
      <w:r>
        <w:rPr>
          <w:color w:val="1C1C1C"/>
        </w:rPr>
        <w:t>. The age groups were</w:t>
      </w:r>
      <w:r>
        <w:rPr>
          <w:color w:val="1C1C1C"/>
          <w:spacing w:val="-57"/>
        </w:rPr>
        <w:t> </w:t>
      </w:r>
      <w:r>
        <w:rPr>
          <w:color w:val="1C1C1C"/>
        </w:rPr>
        <w:t>defined</w:t>
      </w:r>
      <w:r>
        <w:rPr>
          <w:color w:val="1C1C1C"/>
          <w:spacing w:val="-1"/>
        </w:rPr>
        <w:t> </w:t>
      </w:r>
      <w:r>
        <w:rPr>
          <w:color w:val="1C1C1C"/>
        </w:rPr>
        <w:t>as patients aged &lt;35, and </w:t>
      </w:r>
      <w:r>
        <w:rPr/>
        <w:t>≥35 years.</w:t>
      </w:r>
    </w:p>
    <w:p>
      <w:pPr>
        <w:pStyle w:val="BodyText"/>
        <w:spacing w:before="204"/>
        <w:ind w:left="119" w:right="113"/>
        <w:jc w:val="both"/>
      </w:pPr>
      <w:r>
        <w:rPr>
          <w:b/>
        </w:rPr>
        <w:t>Results:  </w:t>
      </w:r>
      <w:r>
        <w:rPr>
          <w:b/>
          <w:spacing w:val="1"/>
        </w:rPr>
        <w:t> </w:t>
      </w:r>
      <w:r>
        <w:rPr/>
        <w:t>Subjects  </w:t>
      </w:r>
      <w:r>
        <w:rPr>
          <w:spacing w:val="1"/>
        </w:rPr>
        <w:t> </w:t>
      </w:r>
      <w:r>
        <w:rPr/>
        <w:t>included  </w:t>
      </w:r>
      <w:r>
        <w:rPr>
          <w:spacing w:val="1"/>
        </w:rPr>
        <w:t> </w:t>
      </w:r>
      <w:r>
        <w:rPr>
          <w:color w:val="1C1C1C"/>
        </w:rPr>
        <w:t>46  </w:t>
      </w:r>
      <w:r>
        <w:rPr>
          <w:color w:val="1C1C1C"/>
          <w:spacing w:val="1"/>
        </w:rPr>
        <w:t> </w:t>
      </w:r>
      <w:r>
        <w:rPr>
          <w:color w:val="1C1C1C"/>
        </w:rPr>
        <w:t>males  </w:t>
      </w:r>
      <w:r>
        <w:rPr>
          <w:color w:val="1C1C1C"/>
          <w:spacing w:val="1"/>
        </w:rPr>
        <w:t> </w:t>
      </w:r>
      <w:r>
        <w:rPr>
          <w:color w:val="1C1C1C"/>
        </w:rPr>
        <w:t>and    42    females,    aged    39.7±13.3</w:t>
      </w:r>
      <w:r>
        <w:rPr>
          <w:color w:val="1C1C1C"/>
          <w:spacing w:val="1"/>
        </w:rPr>
        <w:t> </w:t>
      </w:r>
      <w:r>
        <w:rPr>
          <w:color w:val="1C1C1C"/>
        </w:rPr>
        <w:t>years. </w:t>
      </w:r>
      <w:r>
        <w:rPr/>
        <w:t>Symptomatic/intolerant CLW reported higher pain than controls (p&lt;0.001), but</w:t>
      </w:r>
      <w:r>
        <w:rPr>
          <w:spacing w:val="1"/>
        </w:rPr>
        <w:t> </w:t>
      </w:r>
      <w:r>
        <w:rPr/>
        <w:t>lower</w:t>
      </w:r>
      <w:r>
        <w:rPr>
          <w:spacing w:val="-7"/>
        </w:rPr>
        <w:t> </w:t>
      </w:r>
      <w:r>
        <w:rPr/>
        <w:t>than</w:t>
      </w:r>
      <w:r>
        <w:rPr>
          <w:spacing w:val="-6"/>
        </w:rPr>
        <w:t> </w:t>
      </w:r>
      <w:r>
        <w:rPr/>
        <w:t>NCP</w:t>
      </w:r>
      <w:r>
        <w:rPr>
          <w:spacing w:val="-7"/>
        </w:rPr>
        <w:t> </w:t>
      </w:r>
      <w:r>
        <w:rPr/>
        <w:t>(p&lt;0.001).</w:t>
      </w:r>
      <w:r>
        <w:rPr>
          <w:spacing w:val="-6"/>
        </w:rPr>
        <w:t> </w:t>
      </w:r>
      <w:r>
        <w:rPr/>
        <w:t>QoL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symptomatic/intolerant</w:t>
      </w:r>
      <w:r>
        <w:rPr>
          <w:spacing w:val="-6"/>
        </w:rPr>
        <w:t> </w:t>
      </w:r>
      <w:r>
        <w:rPr/>
        <w:t>CLW</w:t>
      </w:r>
      <w:r>
        <w:rPr>
          <w:spacing w:val="-7"/>
        </w:rPr>
        <w:t> </w:t>
      </w:r>
      <w:r>
        <w:rPr/>
        <w:t>were</w:t>
      </w:r>
      <w:r>
        <w:rPr>
          <w:spacing w:val="-6"/>
        </w:rPr>
        <w:t> </w:t>
      </w:r>
      <w:r>
        <w:rPr/>
        <w:t>higher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physical</w:t>
      </w:r>
      <w:r>
        <w:rPr>
          <w:spacing w:val="-57"/>
        </w:rPr>
        <w:t> </w:t>
      </w:r>
      <w:r>
        <w:rPr/>
        <w:t>dimension,</w:t>
      </w:r>
      <w:r>
        <w:rPr>
          <w:spacing w:val="1"/>
        </w:rPr>
        <w:t> </w:t>
      </w:r>
      <w:r>
        <w:rPr/>
        <w:t>compared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controls</w:t>
      </w:r>
      <w:r>
        <w:rPr>
          <w:spacing w:val="1"/>
        </w:rPr>
        <w:t> </w:t>
      </w:r>
      <w:r>
        <w:rPr/>
        <w:t>(p&lt;0.001).</w:t>
      </w:r>
      <w:r>
        <w:rPr>
          <w:spacing w:val="1"/>
        </w:rPr>
        <w:t> </w:t>
      </w:r>
      <w:r>
        <w:rPr/>
        <w:t>Symptomatic/intolerant</w:t>
      </w:r>
      <w:r>
        <w:rPr>
          <w:spacing w:val="1"/>
        </w:rPr>
        <w:t> </w:t>
      </w:r>
      <w:r>
        <w:rPr/>
        <w:t>CLW</w:t>
      </w:r>
      <w:r>
        <w:rPr>
          <w:spacing w:val="1"/>
        </w:rPr>
        <w:t> </w:t>
      </w:r>
      <w:r>
        <w:rPr/>
        <w:t>reported</w:t>
      </w:r>
      <w:r>
        <w:rPr>
          <w:spacing w:val="1"/>
        </w:rPr>
        <w:t> </w:t>
      </w:r>
      <w:r>
        <w:rPr/>
        <w:t>higher</w:t>
      </w:r>
      <w:r>
        <w:rPr>
          <w:spacing w:val="-12"/>
        </w:rPr>
        <w:t> </w:t>
      </w:r>
      <w:r>
        <w:rPr/>
        <w:t>score</w:t>
      </w:r>
      <w:r>
        <w:rPr>
          <w:spacing w:val="-11"/>
        </w:rPr>
        <w:t> </w:t>
      </w:r>
      <w:r>
        <w:rPr/>
        <w:t>in</w:t>
      </w:r>
      <w:r>
        <w:rPr>
          <w:spacing w:val="-12"/>
        </w:rPr>
        <w:t> </w:t>
      </w:r>
      <w:r>
        <w:rPr/>
        <w:t>psychological/social</w:t>
      </w:r>
      <w:r>
        <w:rPr>
          <w:spacing w:val="-11"/>
        </w:rPr>
        <w:t> </w:t>
      </w:r>
      <w:r>
        <w:rPr/>
        <w:t>dimensions</w:t>
      </w:r>
      <w:r>
        <w:rPr>
          <w:spacing w:val="-12"/>
        </w:rPr>
        <w:t> </w:t>
      </w:r>
      <w:r>
        <w:rPr/>
        <w:t>(p&lt;0.001),</w:t>
      </w:r>
      <w:r>
        <w:rPr>
          <w:spacing w:val="-11"/>
        </w:rPr>
        <w:t> </w:t>
      </w:r>
      <w:r>
        <w:rPr/>
        <w:t>but</w:t>
      </w:r>
      <w:r>
        <w:rPr>
          <w:spacing w:val="-12"/>
        </w:rPr>
        <w:t> </w:t>
      </w:r>
      <w:r>
        <w:rPr>
          <w:color w:val="1C1C1C"/>
        </w:rPr>
        <w:t>lower</w:t>
      </w:r>
      <w:r>
        <w:rPr>
          <w:color w:val="1C1C1C"/>
          <w:spacing w:val="-11"/>
        </w:rPr>
        <w:t> </w:t>
      </w:r>
      <w:r>
        <w:rPr>
          <w:color w:val="1C1C1C"/>
        </w:rPr>
        <w:t>than</w:t>
      </w:r>
      <w:r>
        <w:rPr>
          <w:color w:val="1C1C1C"/>
          <w:spacing w:val="-11"/>
        </w:rPr>
        <w:t> </w:t>
      </w:r>
      <w:r>
        <w:rPr>
          <w:color w:val="1C1C1C"/>
        </w:rPr>
        <w:t>NCP</w:t>
      </w:r>
      <w:r>
        <w:rPr>
          <w:color w:val="1C1C1C"/>
          <w:spacing w:val="-12"/>
        </w:rPr>
        <w:t> </w:t>
      </w:r>
      <w:r>
        <w:rPr>
          <w:color w:val="1C1C1C"/>
        </w:rPr>
        <w:t>(p&lt;0.01).</w:t>
      </w:r>
      <w:r>
        <w:rPr>
          <w:color w:val="1C1C1C"/>
          <w:spacing w:val="-58"/>
        </w:rPr>
        <w:t> </w:t>
      </w:r>
      <w:r>
        <w:rPr>
          <w:color w:val="1C1C1C"/>
        </w:rPr>
        <w:t>Pain correlated with QoL dimensions significantly for symptomatic/intolerant CLW, but</w:t>
      </w:r>
      <w:r>
        <w:rPr>
          <w:color w:val="1C1C1C"/>
          <w:spacing w:val="-57"/>
        </w:rPr>
        <w:t> </w:t>
      </w:r>
      <w:r>
        <w:rPr>
          <w:color w:val="1C1C1C"/>
          <w:spacing w:val="-1"/>
        </w:rPr>
        <w:t>not</w:t>
      </w:r>
      <w:r>
        <w:rPr>
          <w:color w:val="1C1C1C"/>
          <w:spacing w:val="-14"/>
        </w:rPr>
        <w:t> </w:t>
      </w:r>
      <w:r>
        <w:rPr>
          <w:color w:val="1C1C1C"/>
          <w:spacing w:val="-1"/>
        </w:rPr>
        <w:t>for</w:t>
      </w:r>
      <w:r>
        <w:rPr>
          <w:color w:val="1C1C1C"/>
          <w:spacing w:val="-13"/>
        </w:rPr>
        <w:t> </w:t>
      </w:r>
      <w:r>
        <w:rPr>
          <w:color w:val="1C1C1C"/>
          <w:spacing w:val="-1"/>
        </w:rPr>
        <w:t>controls.</w:t>
      </w:r>
      <w:r>
        <w:rPr>
          <w:color w:val="1C1C1C"/>
          <w:spacing w:val="-1"/>
          <w:vertAlign w:val="superscript"/>
        </w:rPr>
        <w:t>1</w:t>
      </w:r>
      <w:r>
        <w:rPr>
          <w:color w:val="1C1C1C"/>
          <w:spacing w:val="42"/>
          <w:vertAlign w:val="baseline"/>
        </w:rPr>
        <w:t> </w:t>
      </w:r>
      <w:r>
        <w:rPr>
          <w:spacing w:val="-1"/>
          <w:vertAlign w:val="baseline"/>
        </w:rPr>
        <w:t>Correlations</w:t>
      </w:r>
      <w:r>
        <w:rPr>
          <w:spacing w:val="-14"/>
          <w:vertAlign w:val="baseline"/>
        </w:rPr>
        <w:t> </w:t>
      </w:r>
      <w:r>
        <w:rPr>
          <w:vertAlign w:val="baseline"/>
        </w:rPr>
        <w:t>were</w:t>
      </w:r>
      <w:r>
        <w:rPr>
          <w:spacing w:val="-13"/>
          <w:vertAlign w:val="baseline"/>
        </w:rPr>
        <w:t> </w:t>
      </w:r>
      <w:r>
        <w:rPr>
          <w:vertAlign w:val="baseline"/>
        </w:rPr>
        <w:t>significant</w:t>
      </w:r>
      <w:r>
        <w:rPr>
          <w:spacing w:val="-12"/>
          <w:vertAlign w:val="baseline"/>
        </w:rPr>
        <w:t> </w:t>
      </w:r>
      <w:r>
        <w:rPr>
          <w:vertAlign w:val="baseline"/>
        </w:rPr>
        <w:t>in</w:t>
      </w:r>
      <w:r>
        <w:rPr>
          <w:spacing w:val="-13"/>
          <w:vertAlign w:val="baseline"/>
        </w:rPr>
        <w:t> </w:t>
      </w:r>
      <w:r>
        <w:rPr>
          <w:vertAlign w:val="baseline"/>
        </w:rPr>
        <w:t>QoL</w:t>
      </w:r>
      <w:r>
        <w:rPr>
          <w:spacing w:val="-14"/>
          <w:vertAlign w:val="baseline"/>
        </w:rPr>
        <w:t> </w:t>
      </w:r>
      <w:r>
        <w:rPr>
          <w:vertAlign w:val="baseline"/>
        </w:rPr>
        <w:t>dimensions</w:t>
      </w:r>
      <w:r>
        <w:rPr>
          <w:spacing w:val="-13"/>
          <w:vertAlign w:val="baseline"/>
        </w:rPr>
        <w:t> </w:t>
      </w:r>
      <w:r>
        <w:rPr>
          <w:vertAlign w:val="baseline"/>
        </w:rPr>
        <w:t>for</w:t>
      </w:r>
      <w:r>
        <w:rPr>
          <w:spacing w:val="-13"/>
          <w:vertAlign w:val="baseline"/>
        </w:rPr>
        <w:t> </w:t>
      </w:r>
      <w:r>
        <w:rPr>
          <w:vertAlign w:val="baseline"/>
        </w:rPr>
        <w:t>symptomatic</w:t>
      </w:r>
      <w:r>
        <w:rPr>
          <w:spacing w:val="-14"/>
          <w:vertAlign w:val="baseline"/>
        </w:rPr>
        <w:t> </w:t>
      </w:r>
      <w:r>
        <w:rPr>
          <w:vertAlign w:val="baseline"/>
        </w:rPr>
        <w:t>CLW</w:t>
      </w:r>
      <w:r>
        <w:rPr>
          <w:spacing w:val="-57"/>
          <w:vertAlign w:val="baseline"/>
        </w:rPr>
        <w:t> </w:t>
      </w:r>
      <w:r>
        <w:rPr>
          <w:vertAlign w:val="baseline"/>
        </w:rPr>
        <w:t>at</w:t>
      </w:r>
      <w:r>
        <w:rPr>
          <w:spacing w:val="-9"/>
          <w:vertAlign w:val="baseline"/>
        </w:rPr>
        <w:t> </w:t>
      </w:r>
      <w:r>
        <w:rPr>
          <w:vertAlign w:val="baseline"/>
        </w:rPr>
        <w:t>all</w:t>
      </w:r>
      <w:r>
        <w:rPr>
          <w:spacing w:val="-9"/>
          <w:vertAlign w:val="baseline"/>
        </w:rPr>
        <w:t> </w:t>
      </w:r>
      <w:r>
        <w:rPr>
          <w:vertAlign w:val="baseline"/>
        </w:rPr>
        <w:t>ages.</w:t>
      </w:r>
      <w:r>
        <w:rPr>
          <w:spacing w:val="-9"/>
          <w:vertAlign w:val="baseline"/>
        </w:rPr>
        <w:t> </w:t>
      </w:r>
      <w:r>
        <w:rPr>
          <w:vertAlign w:val="baseline"/>
        </w:rPr>
        <w:t>Intolerant</w:t>
      </w:r>
      <w:r>
        <w:rPr>
          <w:spacing w:val="-8"/>
          <w:vertAlign w:val="baseline"/>
        </w:rPr>
        <w:t> </w:t>
      </w:r>
      <w:r>
        <w:rPr>
          <w:vertAlign w:val="baseline"/>
        </w:rPr>
        <w:t>CLW&lt;35</w:t>
      </w:r>
      <w:r>
        <w:rPr>
          <w:spacing w:val="-9"/>
          <w:vertAlign w:val="baseline"/>
        </w:rPr>
        <w:t> </w:t>
      </w:r>
      <w:r>
        <w:rPr>
          <w:vertAlign w:val="baseline"/>
        </w:rPr>
        <w:t>showed</w:t>
      </w:r>
      <w:r>
        <w:rPr>
          <w:spacing w:val="-9"/>
          <w:vertAlign w:val="baseline"/>
        </w:rPr>
        <w:t> </w:t>
      </w:r>
      <w:r>
        <w:rPr>
          <w:vertAlign w:val="baseline"/>
        </w:rPr>
        <w:t>interference</w:t>
      </w:r>
      <w:r>
        <w:rPr>
          <w:spacing w:val="-9"/>
          <w:vertAlign w:val="baseline"/>
        </w:rPr>
        <w:t> </w:t>
      </w:r>
      <w:r>
        <w:rPr>
          <w:vertAlign w:val="baseline"/>
        </w:rPr>
        <w:t>of</w:t>
      </w:r>
      <w:r>
        <w:rPr>
          <w:spacing w:val="-8"/>
          <w:vertAlign w:val="baseline"/>
        </w:rPr>
        <w:t> </w:t>
      </w:r>
      <w:r>
        <w:rPr>
          <w:vertAlign w:val="baseline"/>
        </w:rPr>
        <w:t>pain</w:t>
      </w:r>
      <w:r>
        <w:rPr>
          <w:spacing w:val="-9"/>
          <w:vertAlign w:val="baseline"/>
        </w:rPr>
        <w:t> </w:t>
      </w:r>
      <w:r>
        <w:rPr>
          <w:vertAlign w:val="baseline"/>
        </w:rPr>
        <w:t>on</w:t>
      </w:r>
      <w:r>
        <w:rPr>
          <w:spacing w:val="-8"/>
          <w:vertAlign w:val="baseline"/>
        </w:rPr>
        <w:t> </w:t>
      </w:r>
      <w:r>
        <w:rPr>
          <w:vertAlign w:val="baseline"/>
        </w:rPr>
        <w:t>sleep;</w:t>
      </w:r>
      <w:r>
        <w:rPr>
          <w:spacing w:val="-9"/>
          <w:vertAlign w:val="baseline"/>
        </w:rPr>
        <w:t> </w:t>
      </w:r>
      <w:r>
        <w:rPr>
          <w:vertAlign w:val="baseline"/>
        </w:rPr>
        <w:t>intolerant</w:t>
      </w:r>
      <w:r>
        <w:rPr>
          <w:spacing w:val="-8"/>
          <w:vertAlign w:val="baseline"/>
        </w:rPr>
        <w:t> </w:t>
      </w:r>
      <w:r>
        <w:rPr>
          <w:vertAlign w:val="baseline"/>
        </w:rPr>
        <w:t>CLW≥35</w:t>
      </w:r>
      <w:r>
        <w:rPr>
          <w:spacing w:val="-58"/>
          <w:vertAlign w:val="baseline"/>
        </w:rPr>
        <w:t> </w:t>
      </w:r>
      <w:r>
        <w:rPr>
          <w:vertAlign w:val="baseline"/>
        </w:rPr>
        <w:t>showed strong interference on the vision-related physical and psychological dimensions</w:t>
      </w:r>
      <w:r>
        <w:rPr>
          <w:spacing w:val="1"/>
          <w:vertAlign w:val="baseline"/>
        </w:rPr>
        <w:t> </w:t>
      </w:r>
      <w:r>
        <w:rPr>
          <w:vertAlign w:val="baseline"/>
        </w:rPr>
        <w:t>(p=0.01)</w:t>
      </w:r>
      <w:r>
        <w:rPr>
          <w:spacing w:val="-13"/>
          <w:vertAlign w:val="baseline"/>
        </w:rPr>
        <w:t> </w:t>
      </w:r>
      <w:r>
        <w:rPr>
          <w:vertAlign w:val="baseline"/>
        </w:rPr>
        <w:t>The</w:t>
      </w:r>
      <w:r>
        <w:rPr>
          <w:spacing w:val="-12"/>
          <w:vertAlign w:val="baseline"/>
        </w:rPr>
        <w:t> </w:t>
      </w:r>
      <w:r>
        <w:rPr>
          <w:vertAlign w:val="baseline"/>
        </w:rPr>
        <w:t>social</w:t>
      </w:r>
      <w:r>
        <w:rPr>
          <w:spacing w:val="-12"/>
          <w:vertAlign w:val="baseline"/>
        </w:rPr>
        <w:t> </w:t>
      </w:r>
      <w:r>
        <w:rPr>
          <w:vertAlign w:val="baseline"/>
        </w:rPr>
        <w:t>dimension</w:t>
      </w:r>
      <w:r>
        <w:rPr>
          <w:spacing w:val="-12"/>
          <w:vertAlign w:val="baseline"/>
        </w:rPr>
        <w:t> </w:t>
      </w:r>
      <w:r>
        <w:rPr>
          <w:vertAlign w:val="baseline"/>
        </w:rPr>
        <w:t>was</w:t>
      </w:r>
      <w:r>
        <w:rPr>
          <w:spacing w:val="-12"/>
          <w:vertAlign w:val="baseline"/>
        </w:rPr>
        <w:t> </w:t>
      </w:r>
      <w:r>
        <w:rPr>
          <w:vertAlign w:val="baseline"/>
        </w:rPr>
        <w:t>not</w:t>
      </w:r>
      <w:r>
        <w:rPr>
          <w:spacing w:val="-13"/>
          <w:vertAlign w:val="baseline"/>
        </w:rPr>
        <w:t> </w:t>
      </w:r>
      <w:r>
        <w:rPr>
          <w:vertAlign w:val="baseline"/>
        </w:rPr>
        <w:t>different</w:t>
      </w:r>
      <w:r>
        <w:rPr>
          <w:spacing w:val="-12"/>
          <w:vertAlign w:val="baseline"/>
        </w:rPr>
        <w:t> </w:t>
      </w:r>
      <w:r>
        <w:rPr>
          <w:vertAlign w:val="baseline"/>
        </w:rPr>
        <w:t>between</w:t>
      </w:r>
      <w:r>
        <w:rPr>
          <w:spacing w:val="-12"/>
          <w:vertAlign w:val="baseline"/>
        </w:rPr>
        <w:t> </w:t>
      </w:r>
      <w:r>
        <w:rPr>
          <w:vertAlign w:val="baseline"/>
        </w:rPr>
        <w:t>any</w:t>
      </w:r>
      <w:r>
        <w:rPr>
          <w:spacing w:val="-12"/>
          <w:vertAlign w:val="baseline"/>
        </w:rPr>
        <w:t> </w:t>
      </w:r>
      <w:r>
        <w:rPr>
          <w:vertAlign w:val="baseline"/>
        </w:rPr>
        <w:t>group.</w:t>
      </w:r>
      <w:r>
        <w:rPr>
          <w:spacing w:val="-12"/>
          <w:vertAlign w:val="baseline"/>
        </w:rPr>
        <w:t> </w:t>
      </w:r>
      <w:r>
        <w:rPr>
          <w:vertAlign w:val="baseline"/>
        </w:rPr>
        <w:t>Results</w:t>
      </w:r>
      <w:r>
        <w:rPr>
          <w:spacing w:val="-13"/>
          <w:vertAlign w:val="baseline"/>
        </w:rPr>
        <w:t> </w:t>
      </w:r>
      <w:r>
        <w:rPr>
          <w:vertAlign w:val="baseline"/>
        </w:rPr>
        <w:t>did</w:t>
      </w:r>
      <w:r>
        <w:rPr>
          <w:spacing w:val="-12"/>
          <w:vertAlign w:val="baseline"/>
        </w:rPr>
        <w:t> </w:t>
      </w:r>
      <w:r>
        <w:rPr>
          <w:vertAlign w:val="baseline"/>
        </w:rPr>
        <w:t>not</w:t>
      </w:r>
      <w:r>
        <w:rPr>
          <w:spacing w:val="-12"/>
          <w:vertAlign w:val="baseline"/>
        </w:rPr>
        <w:t> </w:t>
      </w:r>
      <w:r>
        <w:rPr>
          <w:vertAlign w:val="baseline"/>
        </w:rPr>
        <w:t>show</w:t>
      </w:r>
      <w:r>
        <w:rPr>
          <w:spacing w:val="-58"/>
          <w:vertAlign w:val="baseline"/>
        </w:rPr>
        <w:t> </w:t>
      </w:r>
      <w:r>
        <w:rPr>
          <w:vertAlign w:val="baseline"/>
        </w:rPr>
        <w:t>significant</w:t>
      </w:r>
      <w:r>
        <w:rPr>
          <w:spacing w:val="-1"/>
          <w:vertAlign w:val="baseline"/>
        </w:rPr>
        <w:t> </w:t>
      </w:r>
      <w:r>
        <w:rPr>
          <w:vertAlign w:val="baseline"/>
        </w:rPr>
        <w:t>gender differences.</w:t>
      </w:r>
    </w:p>
    <w:p>
      <w:pPr>
        <w:pStyle w:val="BodyText"/>
      </w:pPr>
    </w:p>
    <w:p>
      <w:pPr>
        <w:pStyle w:val="BodyText"/>
        <w:spacing w:line="242" w:lineRule="auto" w:before="1"/>
        <w:ind w:left="119" w:right="113"/>
        <w:jc w:val="both"/>
      </w:pPr>
      <w:r>
        <w:rPr>
          <w:b/>
        </w:rPr>
        <w:t>Conclusion: </w:t>
      </w:r>
      <w:r>
        <w:rPr/>
        <w:t>In symptomatic/intolerant CLW pain has increased interference on all QoL</w:t>
      </w:r>
      <w:r>
        <w:rPr>
          <w:spacing w:val="-57"/>
        </w:rPr>
        <w:t> </w:t>
      </w:r>
      <w:r>
        <w:rPr/>
        <w:t>dimensions</w:t>
      </w:r>
      <w:r>
        <w:rPr>
          <w:spacing w:val="-2"/>
        </w:rPr>
        <w:t> </w:t>
      </w:r>
      <w:r>
        <w:rPr/>
        <w:t>compared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controls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asymptomatic</w:t>
      </w:r>
      <w:r>
        <w:rPr>
          <w:spacing w:val="-1"/>
        </w:rPr>
        <w:t> </w:t>
      </w:r>
      <w:r>
        <w:rPr/>
        <w:t>CLW,</w:t>
      </w:r>
      <w:r>
        <w:rPr>
          <w:spacing w:val="-1"/>
        </w:rPr>
        <w:t> </w:t>
      </w:r>
      <w:r>
        <w:rPr/>
        <w:t>but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high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NCP.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247" w:lineRule="auto"/>
        <w:ind w:left="119" w:right="114"/>
        <w:jc w:val="both"/>
      </w:pPr>
      <w:r>
        <w:rPr/>
        <w:t>Keyword: Contact lens wear, contact lens discomfort; Quality of life; Eye pain; Contact</w:t>
      </w:r>
      <w:r>
        <w:rPr>
          <w:spacing w:val="1"/>
        </w:rPr>
        <w:t> </w:t>
      </w:r>
      <w:r>
        <w:rPr/>
        <w:t>lens</w:t>
      </w:r>
      <w:r>
        <w:rPr>
          <w:spacing w:val="-1"/>
        </w:rPr>
        <w:t> </w:t>
      </w:r>
      <w:r>
        <w:rPr/>
        <w:t>intolerant, neuropathic</w:t>
      </w:r>
      <w:r>
        <w:rPr>
          <w:spacing w:val="-1"/>
        </w:rPr>
        <w:t> </w:t>
      </w:r>
      <w:r>
        <w:rPr/>
        <w:t>corneal pain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rPr/>
        <w:pict>
          <v:rect style="position:absolute;margin-left:84.959999pt;margin-top:17.379932pt;width:144pt;height:.48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0"/>
        <w:ind w:left="119" w:right="0" w:firstLine="0"/>
        <w:jc w:val="left"/>
        <w:rPr>
          <w:sz w:val="13"/>
        </w:rPr>
      </w:pPr>
      <w:r>
        <w:rPr>
          <w:w w:val="99"/>
          <w:sz w:val="13"/>
        </w:rPr>
        <w:t>1</w:t>
      </w: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2"/>
        <w:gridCol w:w="1810"/>
        <w:gridCol w:w="1690"/>
        <w:gridCol w:w="1786"/>
      </w:tblGrid>
      <w:tr>
        <w:trPr>
          <w:trHeight w:val="508" w:hRule="atLeast"/>
        </w:trPr>
        <w:tc>
          <w:tcPr>
            <w:tcW w:w="1402" w:type="dxa"/>
          </w:tcPr>
          <w:p>
            <w:pPr>
              <w:pStyle w:val="TableParagraph"/>
              <w:spacing w:line="240" w:lineRule="auto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Pain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Weeks/</w:t>
            </w:r>
          </w:p>
        </w:tc>
        <w:tc>
          <w:tcPr>
            <w:tcW w:w="3500" w:type="dxa"/>
            <w:gridSpan w:val="2"/>
          </w:tcPr>
          <w:p>
            <w:pPr>
              <w:pStyle w:val="TableParagraph"/>
              <w:spacing w:line="240" w:lineRule="auto" w:before="125"/>
              <w:ind w:left="793"/>
              <w:rPr>
                <w:b/>
                <w:sz w:val="22"/>
              </w:rPr>
            </w:pPr>
            <w:r>
              <w:rPr>
                <w:b/>
                <w:sz w:val="22"/>
              </w:rPr>
              <w:t>Contact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Lens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Wear:</w:t>
            </w:r>
          </w:p>
        </w:tc>
        <w:tc>
          <w:tcPr>
            <w:tcW w:w="1786" w:type="dxa"/>
          </w:tcPr>
          <w:p>
            <w:pPr>
              <w:pStyle w:val="TableParagraph"/>
              <w:spacing w:line="240" w:lineRule="auto" w:before="0"/>
              <w:ind w:left="0"/>
              <w:rPr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402" w:type="dxa"/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z w:val="22"/>
              </w:rPr>
              <w:t>QoL</w:t>
            </w:r>
          </w:p>
        </w:tc>
        <w:tc>
          <w:tcPr>
            <w:tcW w:w="1810" w:type="dxa"/>
          </w:tcPr>
          <w:p>
            <w:pPr>
              <w:pStyle w:val="TableParagraph"/>
              <w:spacing w:before="44"/>
              <w:ind w:left="66"/>
              <w:rPr>
                <w:sz w:val="22"/>
              </w:rPr>
            </w:pPr>
            <w:r>
              <w:rPr>
                <w:sz w:val="22"/>
              </w:rPr>
              <w:t>Symptomatic</w:t>
            </w:r>
          </w:p>
        </w:tc>
        <w:tc>
          <w:tcPr>
            <w:tcW w:w="1690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Intolerant</w:t>
            </w:r>
          </w:p>
        </w:tc>
        <w:tc>
          <w:tcPr>
            <w:tcW w:w="1786" w:type="dxa"/>
          </w:tcPr>
          <w:p>
            <w:pPr>
              <w:pStyle w:val="TableParagraph"/>
              <w:spacing w:before="44"/>
              <w:ind w:left="70"/>
              <w:rPr>
                <w:sz w:val="22"/>
              </w:rPr>
            </w:pPr>
            <w:r>
              <w:rPr>
                <w:sz w:val="22"/>
              </w:rPr>
              <w:t>NCP</w:t>
            </w:r>
          </w:p>
        </w:tc>
      </w:tr>
      <w:tr>
        <w:trPr>
          <w:trHeight w:val="302" w:hRule="atLeast"/>
        </w:trPr>
        <w:tc>
          <w:tcPr>
            <w:tcW w:w="140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Reading/PC</w:t>
            </w:r>
          </w:p>
        </w:tc>
        <w:tc>
          <w:tcPr>
            <w:tcW w:w="1810" w:type="dxa"/>
          </w:tcPr>
          <w:p>
            <w:pPr>
              <w:pStyle w:val="TableParagraph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0.90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p&lt;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0.0001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0.40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0.148</w:t>
            </w:r>
          </w:p>
        </w:tc>
        <w:tc>
          <w:tcPr>
            <w:tcW w:w="1786" w:type="dxa"/>
          </w:tcPr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0.28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0.289</w:t>
            </w:r>
          </w:p>
        </w:tc>
      </w:tr>
      <w:tr>
        <w:trPr>
          <w:trHeight w:val="297" w:hRule="atLeast"/>
        </w:trPr>
        <w:tc>
          <w:tcPr>
            <w:tcW w:w="1402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Driving/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TV</w:t>
            </w:r>
          </w:p>
        </w:tc>
        <w:tc>
          <w:tcPr>
            <w:tcW w:w="1810" w:type="dxa"/>
          </w:tcPr>
          <w:p>
            <w:pPr>
              <w:pStyle w:val="TableParagraph"/>
              <w:spacing w:before="44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0.86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p&lt;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0.0001</w:t>
            </w:r>
          </w:p>
        </w:tc>
        <w:tc>
          <w:tcPr>
            <w:tcW w:w="1690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0.57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0.035</w:t>
            </w:r>
          </w:p>
        </w:tc>
        <w:tc>
          <w:tcPr>
            <w:tcW w:w="1786" w:type="dxa"/>
          </w:tcPr>
          <w:p>
            <w:pPr>
              <w:pStyle w:val="TableParagraph"/>
              <w:spacing w:before="44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0.19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0.488</w:t>
            </w:r>
          </w:p>
        </w:tc>
      </w:tr>
      <w:tr>
        <w:trPr>
          <w:trHeight w:val="301" w:hRule="atLeast"/>
        </w:trPr>
        <w:tc>
          <w:tcPr>
            <w:tcW w:w="140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Gen.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Act.</w:t>
            </w:r>
          </w:p>
        </w:tc>
        <w:tc>
          <w:tcPr>
            <w:tcW w:w="1810" w:type="dxa"/>
          </w:tcPr>
          <w:p>
            <w:pPr>
              <w:pStyle w:val="TableParagraph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0.86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p&lt;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0.0001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0.45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0.123</w:t>
            </w:r>
          </w:p>
        </w:tc>
        <w:tc>
          <w:tcPr>
            <w:tcW w:w="1786" w:type="dxa"/>
          </w:tcPr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-0.16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0.566</w:t>
            </w:r>
          </w:p>
        </w:tc>
      </w:tr>
      <w:tr>
        <w:trPr>
          <w:trHeight w:val="302" w:hRule="atLeast"/>
        </w:trPr>
        <w:tc>
          <w:tcPr>
            <w:tcW w:w="140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Mood</w:t>
            </w:r>
          </w:p>
        </w:tc>
        <w:tc>
          <w:tcPr>
            <w:tcW w:w="1810" w:type="dxa"/>
          </w:tcPr>
          <w:p>
            <w:pPr>
              <w:pStyle w:val="TableParagraph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0.78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p=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0.0002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0.57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0.043</w:t>
            </w:r>
          </w:p>
        </w:tc>
        <w:tc>
          <w:tcPr>
            <w:tcW w:w="1786" w:type="dxa"/>
          </w:tcPr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0.239</w:t>
            </w:r>
          </w:p>
        </w:tc>
      </w:tr>
      <w:tr>
        <w:trPr>
          <w:trHeight w:val="297" w:hRule="atLeast"/>
        </w:trPr>
        <w:tc>
          <w:tcPr>
            <w:tcW w:w="1402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Sleep</w:t>
            </w:r>
          </w:p>
        </w:tc>
        <w:tc>
          <w:tcPr>
            <w:tcW w:w="1810" w:type="dxa"/>
          </w:tcPr>
          <w:p>
            <w:pPr>
              <w:pStyle w:val="TableParagraph"/>
              <w:spacing w:before="44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0.78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p=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0.0003</w:t>
            </w:r>
          </w:p>
        </w:tc>
        <w:tc>
          <w:tcPr>
            <w:tcW w:w="1690" w:type="dxa"/>
          </w:tcPr>
          <w:p>
            <w:pPr>
              <w:pStyle w:val="TableParagraph"/>
              <w:spacing w:before="44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0.53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0.063</w:t>
            </w:r>
          </w:p>
        </w:tc>
        <w:tc>
          <w:tcPr>
            <w:tcW w:w="1786" w:type="dxa"/>
          </w:tcPr>
          <w:p>
            <w:pPr>
              <w:pStyle w:val="TableParagraph"/>
              <w:spacing w:before="44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0.43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0.109</w:t>
            </w:r>
          </w:p>
        </w:tc>
      </w:tr>
      <w:tr>
        <w:trPr>
          <w:trHeight w:val="301" w:hRule="atLeast"/>
        </w:trPr>
        <w:tc>
          <w:tcPr>
            <w:tcW w:w="140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Life/Relations</w:t>
            </w:r>
          </w:p>
        </w:tc>
        <w:tc>
          <w:tcPr>
            <w:tcW w:w="1810" w:type="dxa"/>
          </w:tcPr>
          <w:p>
            <w:pPr>
              <w:pStyle w:val="TableParagraph"/>
              <w:ind w:left="66"/>
              <w:rPr>
                <w:i/>
                <w:sz w:val="22"/>
              </w:rPr>
            </w:pPr>
            <w:r>
              <w:rPr>
                <w:i/>
                <w:sz w:val="22"/>
              </w:rPr>
              <w:t>r=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0.78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p=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0.0002</w:t>
            </w:r>
          </w:p>
        </w:tc>
        <w:tc>
          <w:tcPr>
            <w:tcW w:w="16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0.52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0.070</w:t>
            </w:r>
          </w:p>
        </w:tc>
        <w:tc>
          <w:tcPr>
            <w:tcW w:w="1786" w:type="dxa"/>
          </w:tcPr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z w:val="22"/>
              </w:rPr>
              <w:t>r=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0.05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p=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0.861</w:t>
            </w:r>
          </w:p>
        </w:tc>
      </w:tr>
    </w:tbl>
    <w:p>
      <w:pPr>
        <w:spacing w:after="0"/>
        <w:rPr>
          <w:sz w:val="22"/>
        </w:rPr>
        <w:sectPr>
          <w:headerReference w:type="default" r:id="rId5"/>
          <w:type w:val="continuous"/>
          <w:pgSz w:w="11900" w:h="16840"/>
          <w:pgMar w:header="750" w:top="1040" w:bottom="280" w:left="1580" w:right="158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83" w:after="0"/>
        <w:ind w:left="839" w:right="397" w:hanging="360"/>
        <w:jc w:val="left"/>
        <w:rPr>
          <w:sz w:val="20"/>
        </w:rPr>
      </w:pPr>
      <w:r>
        <w:rPr>
          <w:spacing w:val="-1"/>
          <w:sz w:val="20"/>
        </w:rPr>
        <w:t>Dieckmann G et al. Neuropathic </w:t>
      </w:r>
      <w:r>
        <w:rPr>
          <w:sz w:val="20"/>
        </w:rPr>
        <w:t>Corneal Pain: Approaches for Management. Ophthalmology.</w:t>
      </w:r>
      <w:r>
        <w:rPr>
          <w:spacing w:val="-47"/>
          <w:sz w:val="20"/>
        </w:rPr>
        <w:t> </w:t>
      </w:r>
      <w:r>
        <w:rPr>
          <w:sz w:val="20"/>
        </w:rPr>
        <w:t>2017;124(11):34-47.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503" w:hanging="360"/>
        <w:jc w:val="left"/>
        <w:rPr>
          <w:sz w:val="20"/>
        </w:rPr>
      </w:pPr>
      <w:r>
        <w:rPr>
          <w:sz w:val="20"/>
        </w:rPr>
        <w:t>Farhad</w:t>
      </w:r>
      <w:r>
        <w:rPr>
          <w:spacing w:val="-5"/>
          <w:sz w:val="20"/>
        </w:rPr>
        <w:t> </w:t>
      </w:r>
      <w:r>
        <w:rPr>
          <w:sz w:val="20"/>
        </w:rPr>
        <w:t>K.</w:t>
      </w:r>
      <w:r>
        <w:rPr>
          <w:spacing w:val="-4"/>
          <w:sz w:val="20"/>
        </w:rPr>
        <w:t> </w:t>
      </w:r>
      <w:r>
        <w:rPr>
          <w:sz w:val="20"/>
        </w:rPr>
        <w:t>Current</w:t>
      </w:r>
      <w:r>
        <w:rPr>
          <w:spacing w:val="-4"/>
          <w:sz w:val="20"/>
        </w:rPr>
        <w:t> </w:t>
      </w:r>
      <w:r>
        <w:rPr>
          <w:sz w:val="20"/>
        </w:rPr>
        <w:t>Diagnosis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Treatment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Painful</w:t>
      </w:r>
      <w:r>
        <w:rPr>
          <w:spacing w:val="-4"/>
          <w:sz w:val="20"/>
        </w:rPr>
        <w:t> </w:t>
      </w:r>
      <w:r>
        <w:rPr>
          <w:sz w:val="20"/>
        </w:rPr>
        <w:t>Small</w:t>
      </w:r>
      <w:r>
        <w:rPr>
          <w:spacing w:val="-4"/>
          <w:sz w:val="20"/>
        </w:rPr>
        <w:t> </w:t>
      </w:r>
      <w:r>
        <w:rPr>
          <w:sz w:val="20"/>
        </w:rPr>
        <w:t>Fiber</w:t>
      </w:r>
      <w:r>
        <w:rPr>
          <w:spacing w:val="-4"/>
          <w:sz w:val="20"/>
        </w:rPr>
        <w:t> </w:t>
      </w:r>
      <w:r>
        <w:rPr>
          <w:sz w:val="20"/>
        </w:rPr>
        <w:t>Neuropathy.</w:t>
      </w:r>
      <w:r>
        <w:rPr>
          <w:spacing w:val="-4"/>
          <w:sz w:val="20"/>
        </w:rPr>
        <w:t> </w:t>
      </w:r>
      <w:r>
        <w:rPr>
          <w:sz w:val="20"/>
        </w:rPr>
        <w:t>Curr</w:t>
      </w:r>
      <w:r>
        <w:rPr>
          <w:spacing w:val="-4"/>
          <w:sz w:val="20"/>
        </w:rPr>
        <w:t> </w:t>
      </w:r>
      <w:r>
        <w:rPr>
          <w:sz w:val="20"/>
        </w:rPr>
        <w:t>Neurol</w:t>
      </w:r>
      <w:r>
        <w:rPr>
          <w:spacing w:val="-47"/>
          <w:sz w:val="20"/>
        </w:rPr>
        <w:t> </w:t>
      </w:r>
      <w:r>
        <w:rPr>
          <w:sz w:val="20"/>
        </w:rPr>
        <w:t>Neurosci</w:t>
      </w:r>
      <w:r>
        <w:rPr>
          <w:spacing w:val="-2"/>
          <w:sz w:val="20"/>
        </w:rPr>
        <w:t> </w:t>
      </w:r>
      <w:r>
        <w:rPr>
          <w:sz w:val="20"/>
        </w:rPr>
        <w:t>Rep.</w:t>
      </w:r>
      <w:r>
        <w:rPr>
          <w:spacing w:val="-1"/>
          <w:sz w:val="20"/>
        </w:rPr>
        <w:t> </w:t>
      </w:r>
      <w:r>
        <w:rPr>
          <w:sz w:val="20"/>
        </w:rPr>
        <w:t>2019;26;19:103.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1" w:after="0"/>
        <w:ind w:left="839" w:right="716" w:hanging="360"/>
        <w:jc w:val="left"/>
        <w:rPr>
          <w:sz w:val="20"/>
        </w:rPr>
      </w:pPr>
      <w:r>
        <w:rPr>
          <w:spacing w:val="-1"/>
          <w:sz w:val="20"/>
        </w:rPr>
        <w:t>Oaklander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AL, Nolano M. </w:t>
      </w:r>
      <w:r>
        <w:rPr>
          <w:sz w:val="20"/>
        </w:rPr>
        <w:t>Scientific</w:t>
      </w:r>
      <w:r>
        <w:rPr>
          <w:spacing w:val="-12"/>
          <w:sz w:val="20"/>
        </w:rPr>
        <w:t> </w:t>
      </w:r>
      <w:r>
        <w:rPr>
          <w:sz w:val="20"/>
        </w:rPr>
        <w:t>Advances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Clinical</w:t>
      </w:r>
      <w:r>
        <w:rPr>
          <w:spacing w:val="-11"/>
          <w:sz w:val="20"/>
        </w:rPr>
        <w:t> </w:t>
      </w:r>
      <w:r>
        <w:rPr>
          <w:sz w:val="20"/>
        </w:rPr>
        <w:t>Approaches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Small-Fiber</w:t>
      </w:r>
      <w:r>
        <w:rPr>
          <w:spacing w:val="-47"/>
          <w:sz w:val="20"/>
        </w:rPr>
        <w:t> </w:t>
      </w:r>
      <w:r>
        <w:rPr>
          <w:spacing w:val="-1"/>
          <w:sz w:val="20"/>
        </w:rPr>
        <w:t>Polyneuropathy: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Review. JAMA</w:t>
      </w:r>
      <w:r>
        <w:rPr>
          <w:spacing w:val="-13"/>
          <w:sz w:val="20"/>
        </w:rPr>
        <w:t> </w:t>
      </w:r>
      <w:r>
        <w:rPr>
          <w:sz w:val="20"/>
        </w:rPr>
        <w:t>Neurol.</w:t>
      </w:r>
      <w:r>
        <w:rPr>
          <w:spacing w:val="-1"/>
          <w:sz w:val="20"/>
        </w:rPr>
        <w:t> </w:t>
      </w:r>
      <w:r>
        <w:rPr>
          <w:sz w:val="20"/>
        </w:rPr>
        <w:t>2019.</w:t>
      </w:r>
      <w:r>
        <w:rPr>
          <w:spacing w:val="-1"/>
          <w:sz w:val="20"/>
        </w:rPr>
        <w:t> </w:t>
      </w:r>
      <w:r>
        <w:rPr>
          <w:sz w:val="20"/>
        </w:rPr>
        <w:t>Epub</w:t>
      </w:r>
      <w:r>
        <w:rPr>
          <w:spacing w:val="-1"/>
          <w:sz w:val="20"/>
        </w:rPr>
        <w:t> </w:t>
      </w:r>
      <w:r>
        <w:rPr>
          <w:sz w:val="20"/>
        </w:rPr>
        <w:t>2019/09/10.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1" w:after="0"/>
        <w:ind w:left="839" w:right="133" w:hanging="360"/>
        <w:jc w:val="left"/>
        <w:rPr>
          <w:sz w:val="20"/>
        </w:rPr>
      </w:pPr>
      <w:r>
        <w:rPr>
          <w:sz w:val="20"/>
        </w:rPr>
        <w:t>Bayraktutar</w:t>
      </w:r>
      <w:r>
        <w:rPr>
          <w:spacing w:val="-4"/>
          <w:sz w:val="20"/>
        </w:rPr>
        <w:t> </w:t>
      </w:r>
      <w:r>
        <w:rPr>
          <w:sz w:val="20"/>
        </w:rPr>
        <w:t>B</w:t>
      </w:r>
      <w:r>
        <w:rPr>
          <w:spacing w:val="-4"/>
          <w:sz w:val="20"/>
        </w:rPr>
        <w:t> </w:t>
      </w:r>
      <w:r>
        <w:rPr>
          <w:sz w:val="20"/>
        </w:rPr>
        <w:t>et</w:t>
      </w:r>
      <w:r>
        <w:rPr>
          <w:spacing w:val="-4"/>
          <w:sz w:val="20"/>
        </w:rPr>
        <w:t> </w:t>
      </w:r>
      <w:r>
        <w:rPr>
          <w:sz w:val="20"/>
        </w:rPr>
        <w:t>al.</w:t>
      </w:r>
      <w:r>
        <w:rPr>
          <w:spacing w:val="-3"/>
          <w:sz w:val="20"/>
        </w:rPr>
        <w:t> </w:t>
      </w:r>
      <w:r>
        <w:rPr>
          <w:sz w:val="20"/>
        </w:rPr>
        <w:t>Serological</w:t>
      </w:r>
      <w:r>
        <w:rPr>
          <w:spacing w:val="-8"/>
          <w:sz w:val="20"/>
        </w:rPr>
        <w:t> </w:t>
      </w:r>
      <w:r>
        <w:rPr>
          <w:sz w:val="20"/>
        </w:rPr>
        <w:t>Testing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Neuropathic</w:t>
      </w:r>
      <w:r>
        <w:rPr>
          <w:spacing w:val="-3"/>
          <w:sz w:val="20"/>
        </w:rPr>
        <w:t> </w:t>
      </w:r>
      <w:r>
        <w:rPr>
          <w:sz w:val="20"/>
        </w:rPr>
        <w:t>Corneal</w:t>
      </w:r>
      <w:r>
        <w:rPr>
          <w:spacing w:val="-4"/>
          <w:sz w:val="20"/>
        </w:rPr>
        <w:t> </w:t>
      </w:r>
      <w:r>
        <w:rPr>
          <w:sz w:val="20"/>
        </w:rPr>
        <w:t>Pain: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Dysimmune</w:t>
      </w:r>
      <w:r>
        <w:rPr>
          <w:spacing w:val="-3"/>
          <w:sz w:val="20"/>
        </w:rPr>
        <w:t> </w:t>
      </w:r>
      <w:r>
        <w:rPr>
          <w:sz w:val="20"/>
        </w:rPr>
        <w:t>Neuropathy</w:t>
      </w:r>
      <w:r>
        <w:rPr>
          <w:spacing w:val="-47"/>
          <w:sz w:val="20"/>
        </w:rPr>
        <w:t> </w:t>
      </w:r>
      <w:r>
        <w:rPr>
          <w:spacing w:val="-1"/>
          <w:sz w:val="20"/>
        </w:rPr>
        <w:t>a Major Underlying Cause of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Disease?</w:t>
      </w:r>
      <w:r>
        <w:rPr>
          <w:spacing w:val="-13"/>
          <w:sz w:val="20"/>
        </w:rPr>
        <w:t> </w:t>
      </w:r>
      <w:r>
        <w:rPr>
          <w:sz w:val="20"/>
        </w:rPr>
        <w:t>AAO,</w:t>
      </w:r>
      <w:r>
        <w:rPr>
          <w:spacing w:val="-1"/>
          <w:sz w:val="20"/>
        </w:rPr>
        <w:t> </w:t>
      </w:r>
      <w:r>
        <w:rPr>
          <w:sz w:val="20"/>
        </w:rPr>
        <w:t>2020,</w:t>
      </w:r>
      <w:r>
        <w:rPr>
          <w:spacing w:val="-4"/>
          <w:sz w:val="20"/>
        </w:rPr>
        <w:t> </w:t>
      </w:r>
      <w:r>
        <w:rPr>
          <w:sz w:val="20"/>
        </w:rPr>
        <w:t>V`rtual.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  <w:tab w:pos="940" w:val="left" w:leader="none"/>
        </w:tabs>
        <w:spacing w:line="240" w:lineRule="auto" w:before="0" w:after="0"/>
        <w:ind w:left="839" w:right="693" w:hanging="360"/>
        <w:jc w:val="left"/>
        <w:rPr>
          <w:sz w:val="20"/>
        </w:rPr>
      </w:pPr>
      <w:r>
        <w:rPr/>
        <w:tab/>
      </w:r>
      <w:r>
        <w:rPr>
          <w:spacing w:val="-1"/>
          <w:sz w:val="20"/>
        </w:rPr>
        <w:t>Qazi et al. Validity and Reliability of a Novel Ocular Pain Assessment </w:t>
      </w:r>
      <w:r>
        <w:rPr>
          <w:sz w:val="20"/>
        </w:rPr>
        <w:t>Survey (OPAS) in</w:t>
      </w:r>
      <w:r>
        <w:rPr>
          <w:spacing w:val="-47"/>
          <w:sz w:val="20"/>
        </w:rPr>
        <w:t> </w:t>
      </w:r>
      <w:r>
        <w:rPr>
          <w:sz w:val="20"/>
        </w:rPr>
        <w:t>Quantifying and Monitoring Corneal and Ocular Surface Pain. Ophthalmology. 2016</w:t>
      </w:r>
      <w:r>
        <w:rPr>
          <w:spacing w:val="1"/>
          <w:sz w:val="20"/>
        </w:rPr>
        <w:t> </w:t>
      </w:r>
      <w:r>
        <w:rPr>
          <w:sz w:val="20"/>
        </w:rPr>
        <w:t>Jul;123(7):1458-68.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1"/>
        <w:ind w:left="119"/>
      </w:pPr>
      <w:r>
        <w:rPr/>
        <w:t>Biography</w:t>
      </w:r>
    </w:p>
    <w:p>
      <w:pPr>
        <w:pStyle w:val="BodyText"/>
        <w:spacing w:line="276" w:lineRule="auto" w:before="45"/>
        <w:ind w:left="332" w:right="344"/>
        <w:jc w:val="both"/>
      </w:pPr>
      <w:r>
        <w:rPr/>
        <w:t>Leyla</w:t>
      </w:r>
      <w:r>
        <w:rPr>
          <w:spacing w:val="-14"/>
        </w:rPr>
        <w:t> </w:t>
      </w:r>
      <w:r>
        <w:rPr/>
        <w:t>Mirzaee</w:t>
      </w:r>
      <w:r>
        <w:rPr>
          <w:spacing w:val="-14"/>
        </w:rPr>
        <w:t> </w:t>
      </w:r>
      <w:r>
        <w:rPr/>
        <w:t>gained</w:t>
      </w:r>
      <w:r>
        <w:rPr>
          <w:spacing w:val="-14"/>
        </w:rPr>
        <w:t> </w:t>
      </w:r>
      <w:r>
        <w:rPr/>
        <w:t>her</w:t>
      </w:r>
      <w:r>
        <w:rPr>
          <w:spacing w:val="-13"/>
        </w:rPr>
        <w:t> </w:t>
      </w:r>
      <w:r>
        <w:rPr/>
        <w:t>doctorate</w:t>
      </w:r>
      <w:r>
        <w:rPr>
          <w:spacing w:val="-14"/>
        </w:rPr>
        <w:t> </w:t>
      </w:r>
      <w:r>
        <w:rPr/>
        <w:t>degree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/>
        <w:t>medical</w:t>
      </w:r>
      <w:r>
        <w:rPr>
          <w:spacing w:val="-13"/>
        </w:rPr>
        <w:t> </w:t>
      </w:r>
      <w:r>
        <w:rPr/>
        <w:t>science</w:t>
      </w:r>
      <w:r>
        <w:rPr>
          <w:spacing w:val="-14"/>
        </w:rPr>
        <w:t> </w:t>
      </w:r>
      <w:r>
        <w:rPr/>
        <w:t>from</w:t>
      </w:r>
      <w:r>
        <w:rPr>
          <w:spacing w:val="-14"/>
        </w:rPr>
        <w:t> </w:t>
      </w:r>
      <w:r>
        <w:rPr/>
        <w:t>Charité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/>
        <w:t>Berlin,</w:t>
      </w:r>
      <w:r>
        <w:rPr>
          <w:spacing w:val="-57"/>
        </w:rPr>
        <w:t> </w:t>
      </w:r>
      <w:r>
        <w:rPr/>
        <w:t>Germany. She has expertise in health care management and evaluation of health-</w:t>
      </w:r>
      <w:r>
        <w:rPr>
          <w:spacing w:val="1"/>
        </w:rPr>
        <w:t> </w:t>
      </w:r>
      <w:r>
        <w:rPr/>
        <w:t>related quality of life. Her experience is either in academic and industry sector.</w:t>
      </w:r>
      <w:r>
        <w:rPr>
          <w:spacing w:val="1"/>
        </w:rPr>
        <w:t> </w:t>
      </w:r>
      <w:r>
        <w:rPr/>
        <w:t>Furthermore, she develops strategies in order to evaluate and improve policies in</w:t>
      </w:r>
      <w:r>
        <w:rPr>
          <w:spacing w:val="1"/>
        </w:rPr>
        <w:t> </w:t>
      </w:r>
      <w:r>
        <w:rPr/>
        <w:t>health</w:t>
      </w:r>
      <w:r>
        <w:rPr>
          <w:spacing w:val="-1"/>
        </w:rPr>
        <w:t> </w:t>
      </w:r>
      <w:r>
        <w:rPr/>
        <w:t>care</w:t>
      </w:r>
      <w:r>
        <w:rPr>
          <w:spacing w:val="-1"/>
        </w:rPr>
        <w:t> </w:t>
      </w:r>
      <w:r>
        <w:rPr/>
        <w:t>management as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interface</w:t>
      </w:r>
      <w:r>
        <w:rPr>
          <w:spacing w:val="-1"/>
        </w:rPr>
        <w:t> </w:t>
      </w:r>
      <w:r>
        <w:rPr/>
        <w:t>between</w:t>
      </w:r>
      <w:r>
        <w:rPr>
          <w:spacing w:val="-1"/>
        </w:rPr>
        <w:t> </w:t>
      </w:r>
      <w:r>
        <w:rPr/>
        <w:t>patient</w:t>
      </w:r>
      <w:r>
        <w:rPr>
          <w:spacing w:val="-2"/>
        </w:rPr>
        <w:t> </w:t>
      </w:r>
      <w:r>
        <w:rPr/>
        <w:t>and physician.</w:t>
      </w:r>
    </w:p>
    <w:p>
      <w:pPr>
        <w:pStyle w:val="BodyText"/>
        <w:spacing w:before="10"/>
        <w:rPr>
          <w:sz w:val="18"/>
        </w:rPr>
      </w:pPr>
      <w:r>
        <w:rPr/>
        <w:pict>
          <v:shape style="position:absolute;margin-left:162.100098pt;margin-top:13.057893pt;width:271.05pt;height:.1pt;mso-position-horizontal-relative:page;mso-position-vertical-relative:paragraph;z-index:-15728128;mso-wrap-distance-left:0;mso-wrap-distance-right:0" coordorigin="3242,261" coordsize="5421,0" path="m3242,261l8663,261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ind w:left="119"/>
      </w:pPr>
      <w:r>
        <w:rPr/>
        <w:t>e-mail:</w:t>
      </w:r>
      <w:r>
        <w:rPr>
          <w:spacing w:val="-4"/>
        </w:rPr>
        <w:t> </w:t>
      </w:r>
      <w:hyperlink r:id="rId6">
        <w:r>
          <w:rPr/>
          <w:t>mirza.lilly@googlemail.com</w:t>
        </w:r>
      </w:hyperlink>
    </w:p>
    <w:p>
      <w:pPr>
        <w:pStyle w:val="BodyText"/>
        <w:spacing w:before="6"/>
        <w:rPr>
          <w:sz w:val="32"/>
        </w:rPr>
      </w:pPr>
    </w:p>
    <w:p>
      <w:pPr>
        <w:spacing w:before="0"/>
        <w:ind w:left="119" w:right="0" w:firstLine="0"/>
        <w:jc w:val="left"/>
        <w:rPr>
          <w:rFonts w:ascii="Cambria Math"/>
          <w:sz w:val="19"/>
        </w:rPr>
      </w:pPr>
      <w:r>
        <w:rPr>
          <w:rFonts w:ascii="Cambria Math"/>
          <w:w w:val="105"/>
          <w:sz w:val="19"/>
        </w:rPr>
        <w:t>Notes/Comments:</w:t>
      </w:r>
    </w:p>
    <w:p>
      <w:pPr>
        <w:pStyle w:val="BodyText"/>
        <w:rPr>
          <w:rFonts w:ascii="Cambria Math"/>
          <w:sz w:val="22"/>
        </w:rPr>
      </w:pPr>
    </w:p>
    <w:p>
      <w:pPr>
        <w:pStyle w:val="BodyText"/>
        <w:rPr>
          <w:rFonts w:ascii="Cambria Math"/>
          <w:sz w:val="25"/>
        </w:rPr>
      </w:pPr>
    </w:p>
    <w:p>
      <w:pPr>
        <w:spacing w:before="1"/>
        <w:ind w:left="119" w:right="0" w:firstLine="0"/>
        <w:jc w:val="left"/>
        <w:rPr>
          <w:b/>
          <w:sz w:val="20"/>
        </w:rPr>
      </w:pPr>
      <w:r>
        <w:rPr>
          <w:b/>
          <w:sz w:val="20"/>
        </w:rPr>
        <w:t>Presenting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author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details</w:t>
      </w:r>
    </w:p>
    <w:p>
      <w:pPr>
        <w:spacing w:before="0"/>
        <w:ind w:left="119" w:right="0" w:firstLine="0"/>
        <w:jc w:val="left"/>
        <w:rPr>
          <w:sz w:val="20"/>
        </w:rPr>
      </w:pPr>
      <w:r>
        <w:rPr>
          <w:sz w:val="20"/>
        </w:rPr>
        <w:t>Full</w:t>
      </w:r>
      <w:r>
        <w:rPr>
          <w:spacing w:val="-2"/>
          <w:sz w:val="20"/>
        </w:rPr>
        <w:t> </w:t>
      </w:r>
      <w:r>
        <w:rPr>
          <w:sz w:val="20"/>
        </w:rPr>
        <w:t>name:</w:t>
      </w:r>
      <w:r>
        <w:rPr>
          <w:spacing w:val="-2"/>
          <w:sz w:val="20"/>
        </w:rPr>
        <w:t> </w:t>
      </w:r>
      <w:r>
        <w:rPr>
          <w:sz w:val="20"/>
        </w:rPr>
        <w:t>Leyla</w:t>
      </w:r>
      <w:r>
        <w:rPr>
          <w:spacing w:val="-2"/>
          <w:sz w:val="20"/>
        </w:rPr>
        <w:t> </w:t>
      </w:r>
      <w:r>
        <w:rPr>
          <w:sz w:val="20"/>
        </w:rPr>
        <w:t>Mirzaee</w:t>
      </w:r>
    </w:p>
    <w:p>
      <w:pPr>
        <w:spacing w:before="1"/>
        <w:ind w:left="119" w:right="5762" w:firstLine="0"/>
        <w:jc w:val="left"/>
        <w:rPr>
          <w:sz w:val="20"/>
        </w:rPr>
      </w:pPr>
      <w:r>
        <w:rPr>
          <w:sz w:val="20"/>
        </w:rPr>
        <w:t>Contact number: 0049 1797296774</w:t>
      </w:r>
      <w:r>
        <w:rPr>
          <w:spacing w:val="-48"/>
          <w:sz w:val="20"/>
        </w:rPr>
        <w:t> </w:t>
      </w:r>
      <w:r>
        <w:rPr>
          <w:sz w:val="20"/>
        </w:rPr>
        <w:t>Session</w:t>
      </w:r>
      <w:r>
        <w:rPr>
          <w:spacing w:val="-2"/>
          <w:sz w:val="20"/>
        </w:rPr>
        <w:t> </w:t>
      </w:r>
      <w:r>
        <w:rPr>
          <w:sz w:val="20"/>
        </w:rPr>
        <w:t>name/</w:t>
      </w:r>
      <w:r>
        <w:rPr>
          <w:spacing w:val="-1"/>
          <w:sz w:val="20"/>
        </w:rPr>
        <w:t> </w:t>
      </w:r>
      <w:r>
        <w:rPr>
          <w:sz w:val="20"/>
        </w:rPr>
        <w:t>number:</w:t>
      </w:r>
    </w:p>
    <w:p>
      <w:pPr>
        <w:spacing w:before="0"/>
        <w:ind w:left="119" w:right="0" w:firstLine="0"/>
        <w:jc w:val="left"/>
        <w:rPr>
          <w:sz w:val="20"/>
        </w:rPr>
      </w:pPr>
      <w:r>
        <w:rPr>
          <w:sz w:val="20"/>
        </w:rPr>
        <w:t>Category:</w:t>
      </w:r>
      <w:r>
        <w:rPr>
          <w:spacing w:val="-4"/>
          <w:sz w:val="20"/>
        </w:rPr>
        <w:t> </w:t>
      </w:r>
      <w:r>
        <w:rPr>
          <w:sz w:val="20"/>
        </w:rPr>
        <w:t>Oral</w:t>
      </w:r>
      <w:r>
        <w:rPr>
          <w:spacing w:val="-3"/>
          <w:sz w:val="20"/>
        </w:rPr>
        <w:t> </w:t>
      </w:r>
      <w:r>
        <w:rPr>
          <w:sz w:val="20"/>
        </w:rPr>
        <w:t>presentation</w:t>
      </w:r>
    </w:p>
    <w:sectPr>
      <w:pgSz w:w="11900" w:h="16840"/>
      <w:pgMar w:header="750" w:footer="0" w:top="1040" w:bottom="280" w:left="15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83.519997pt;margin-top:46.799999pt;width:428.16pt;height:.72pt;mso-position-horizontal-relative:page;mso-position-vertical-relative:page;z-index:-15815680" filled="true" fillcolor="#00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9"/>
      <w:ind w:left="614"/>
    </w:pPr>
    <w:rPr>
      <w:rFonts w:ascii="Times New Roman" w:hAnsi="Times New Roman" w:eastAsia="Times New Roman" w:cs="Times New Roman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9" w:right="133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9" w:line="233" w:lineRule="exact"/>
      <w:ind w:left="71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mirza.lilly@google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mirzaee_impactCLDQoL_OphthalmologyVisionScience.docx</dc:title>
  <dcterms:created xsi:type="dcterms:W3CDTF">2023-01-21T06:29:09Z</dcterms:created>
  <dcterms:modified xsi:type="dcterms:W3CDTF">2023-01-21T06:29:09Z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Word</vt:lpwstr>
  </property>
  <property fmtid="{D5CDD505-2E9C-101B-9397-08002B2CF9AE}" pid="4" name="LastSaved">
    <vt:filetime>2023-01-21T00:00:00Z</vt:filetime>
  </property>
</Properties>
</file>