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131E49" w14:textId="77777777" w:rsidR="004A63D9" w:rsidRDefault="00565AA5" w:rsidP="000534A1">
      <w:pPr>
        <w:pStyle w:val="Heading1"/>
        <w:spacing w:before="170"/>
        <w:ind w:left="0"/>
        <w:jc w:val="both"/>
        <w:rPr>
          <w:color w:val="337AB7"/>
        </w:rPr>
      </w:pPr>
      <w:bookmarkStart w:id="0" w:name="_GoBack"/>
      <w:r>
        <w:rPr>
          <w:color w:val="337AB7"/>
        </w:rPr>
        <w:t xml:space="preserve">Elucidating the role of microRNA in </w:t>
      </w:r>
      <w:proofErr w:type="spellStart"/>
      <w:r>
        <w:rPr>
          <w:color w:val="337AB7"/>
        </w:rPr>
        <w:t>Hydroxyurea</w:t>
      </w:r>
      <w:proofErr w:type="spellEnd"/>
      <w:r>
        <w:rPr>
          <w:color w:val="337AB7"/>
        </w:rPr>
        <w:t xml:space="preserve"> mediated </w:t>
      </w:r>
      <w:proofErr w:type="spellStart"/>
      <w:r>
        <w:rPr>
          <w:color w:val="337AB7"/>
        </w:rPr>
        <w:t>HbF</w:t>
      </w:r>
      <w:proofErr w:type="spellEnd"/>
      <w:r>
        <w:rPr>
          <w:color w:val="337AB7"/>
        </w:rPr>
        <w:t xml:space="preserve"> induction in thalassemia patients </w:t>
      </w:r>
    </w:p>
    <w:bookmarkEnd w:id="0"/>
    <w:p w14:paraId="54CDC089" w14:textId="447DAC50" w:rsidR="004A63D9" w:rsidRPr="004A63D9" w:rsidRDefault="004A63D9" w:rsidP="000534A1">
      <w:pPr>
        <w:pStyle w:val="Heading1"/>
        <w:spacing w:before="170"/>
        <w:ind w:left="0"/>
        <w:jc w:val="both"/>
        <w:rPr>
          <w:color w:val="337AB7"/>
        </w:rPr>
      </w:pPr>
      <w:r w:rsidRPr="004A63D9">
        <w:rPr>
          <w:sz w:val="24"/>
          <w:szCs w:val="24"/>
        </w:rPr>
        <w:t>Indian council of medical research - National Institute of immunohematology</w:t>
      </w:r>
    </w:p>
    <w:p w14:paraId="73BA121A" w14:textId="77777777" w:rsidR="00565AA5" w:rsidRDefault="00565AA5" w:rsidP="004A63D9">
      <w:pPr>
        <w:pStyle w:val="BodyText"/>
        <w:spacing w:before="73" w:line="198" w:lineRule="exact"/>
        <w:ind w:right="5987"/>
        <w:rPr>
          <w:rFonts w:ascii="Arial"/>
        </w:rPr>
      </w:pPr>
      <w:r>
        <w:rPr>
          <w:rFonts w:ascii="Arial"/>
        </w:rPr>
        <w:t xml:space="preserve">Dr. Anita </w:t>
      </w:r>
      <w:proofErr w:type="spellStart"/>
      <w:r>
        <w:rPr>
          <w:rFonts w:ascii="Arial"/>
        </w:rPr>
        <w:t>Nadkarni</w:t>
      </w:r>
      <w:proofErr w:type="spellEnd"/>
      <w:r>
        <w:rPr>
          <w:rFonts w:ascii="Arial"/>
        </w:rPr>
        <w:t>, PhD, ICMR-NIIH, India</w:t>
      </w:r>
    </w:p>
    <w:p w14:paraId="1E91BA8D" w14:textId="77777777" w:rsidR="00AE3E37" w:rsidRDefault="00AE3E37">
      <w:pPr>
        <w:pStyle w:val="BodyText"/>
        <w:rPr>
          <w:rFonts w:ascii="Arial"/>
          <w:sz w:val="20"/>
        </w:rPr>
      </w:pPr>
    </w:p>
    <w:p w14:paraId="57AE7B74" w14:textId="77777777" w:rsidR="00AE3E37" w:rsidRDefault="00AE3E37">
      <w:pPr>
        <w:rPr>
          <w:rFonts w:ascii="Arial"/>
          <w:sz w:val="21"/>
        </w:rPr>
        <w:sectPr w:rsidR="00AE3E37" w:rsidSect="008E5477">
          <w:footerReference w:type="default" r:id="rId8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5BC2EEE0" w14:textId="77777777" w:rsidR="00AE3E37" w:rsidRDefault="00A9710C" w:rsidP="003552A1">
      <w:pPr>
        <w:pStyle w:val="Heading3"/>
        <w:spacing w:before="147"/>
        <w:ind w:left="0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14:paraId="34E98E66" w14:textId="77777777" w:rsidR="00565AA5" w:rsidRPr="00565AA5" w:rsidRDefault="00565AA5" w:rsidP="00565AA5">
      <w:pPr>
        <w:spacing w:line="360" w:lineRule="auto"/>
        <w:jc w:val="both"/>
        <w:rPr>
          <w:rFonts w:cs="Times New Roman"/>
          <w:color w:val="000000" w:themeColor="text1"/>
          <w:sz w:val="18"/>
          <w:szCs w:val="18"/>
        </w:rPr>
      </w:pPr>
      <w:r w:rsidRPr="00565AA5">
        <w:rPr>
          <w:b/>
          <w:bCs/>
          <w:sz w:val="18"/>
          <w:szCs w:val="18"/>
        </w:rPr>
        <w:t>Statement of the Problem:</w:t>
      </w:r>
      <w:r w:rsidRPr="00565AA5">
        <w:rPr>
          <w:sz w:val="18"/>
          <w:szCs w:val="18"/>
        </w:rPr>
        <w:t xml:space="preserve"> </w:t>
      </w:r>
      <w:proofErr w:type="spellStart"/>
      <w:r w:rsidRPr="00565AA5">
        <w:rPr>
          <w:rFonts w:eastAsia="Times New Roman" w:cs="Times New Roman"/>
          <w:color w:val="000000" w:themeColor="text1"/>
          <w:sz w:val="18"/>
          <w:szCs w:val="18"/>
          <w:lang w:eastAsia="en-GB"/>
        </w:rPr>
        <w:t>Haemoglobinopathies</w:t>
      </w:r>
      <w:proofErr w:type="spellEnd"/>
      <w:r w:rsidRPr="00565AA5">
        <w:rPr>
          <w:rFonts w:eastAsia="Times New Roman" w:cs="Times New Roman"/>
          <w:color w:val="000000" w:themeColor="text1"/>
          <w:sz w:val="18"/>
          <w:szCs w:val="18"/>
          <w:lang w:eastAsia="en-GB"/>
        </w:rPr>
        <w:t xml:space="preserve"> are the commonest disorder in India. </w:t>
      </w:r>
      <w:proofErr w:type="spellStart"/>
      <w:r w:rsidRPr="00565AA5">
        <w:rPr>
          <w:rFonts w:eastAsia="Times New Roman" w:cs="Times New Roman"/>
          <w:color w:val="000000" w:themeColor="text1"/>
          <w:sz w:val="18"/>
          <w:szCs w:val="18"/>
          <w:lang w:eastAsia="en-GB"/>
        </w:rPr>
        <w:t>Hydroxyurea</w:t>
      </w:r>
      <w:proofErr w:type="spellEnd"/>
      <w:r w:rsidRPr="00565AA5">
        <w:rPr>
          <w:rFonts w:eastAsia="Times New Roman" w:cs="Times New Roman"/>
          <w:color w:val="000000" w:themeColor="text1"/>
          <w:sz w:val="18"/>
          <w:szCs w:val="18"/>
          <w:lang w:eastAsia="en-GB"/>
        </w:rPr>
        <w:t xml:space="preserve"> is known to be efficacious for patients through </w:t>
      </w:r>
      <w:proofErr w:type="spellStart"/>
      <w:r w:rsidRPr="00565AA5">
        <w:rPr>
          <w:rFonts w:eastAsia="Times New Roman" w:cs="Times New Roman"/>
          <w:color w:val="000000" w:themeColor="text1"/>
          <w:sz w:val="18"/>
          <w:szCs w:val="18"/>
          <w:lang w:eastAsia="en-GB"/>
        </w:rPr>
        <w:t>HbF</w:t>
      </w:r>
      <w:proofErr w:type="spellEnd"/>
      <w:r w:rsidRPr="00565AA5">
        <w:rPr>
          <w:rFonts w:eastAsia="Times New Roman" w:cs="Times New Roman"/>
          <w:color w:val="000000" w:themeColor="text1"/>
          <w:sz w:val="18"/>
          <w:szCs w:val="18"/>
          <w:lang w:eastAsia="en-GB"/>
        </w:rPr>
        <w:t xml:space="preserve"> </w:t>
      </w:r>
      <w:proofErr w:type="gramStart"/>
      <w:r w:rsidRPr="00565AA5">
        <w:rPr>
          <w:rFonts w:eastAsia="Times New Roman" w:cs="Times New Roman"/>
          <w:color w:val="000000" w:themeColor="text1"/>
          <w:sz w:val="18"/>
          <w:szCs w:val="18"/>
          <w:lang w:eastAsia="en-GB"/>
        </w:rPr>
        <w:t>induction,</w:t>
      </w:r>
      <w:proofErr w:type="gramEnd"/>
      <w:r w:rsidRPr="00565AA5">
        <w:rPr>
          <w:rFonts w:eastAsia="Times New Roman" w:cs="Times New Roman"/>
          <w:color w:val="000000" w:themeColor="text1"/>
          <w:sz w:val="18"/>
          <w:szCs w:val="18"/>
          <w:lang w:eastAsia="en-GB"/>
        </w:rPr>
        <w:t xml:space="preserve"> however, the mechanism is not elucidated.  The role of microRNAs is well documented in regulating </w:t>
      </w:r>
      <w:r w:rsidRPr="00BE153F">
        <w:rPr>
          <w:rFonts w:ascii="Symbol" w:eastAsia="Times New Roman" w:hAnsi="Symbol" w:cs="Times New Roman"/>
          <w:color w:val="000000" w:themeColor="text1"/>
          <w:sz w:val="18"/>
          <w:szCs w:val="18"/>
          <w:lang w:eastAsia="en-GB"/>
        </w:rPr>
        <w:t></w:t>
      </w:r>
      <w:r w:rsidRPr="00565AA5">
        <w:rPr>
          <w:rFonts w:eastAsia="Times New Roman" w:cs="Times New Roman"/>
          <w:color w:val="000000" w:themeColor="text1"/>
          <w:sz w:val="18"/>
          <w:szCs w:val="18"/>
          <w:lang w:eastAsia="en-GB"/>
        </w:rPr>
        <w:t xml:space="preserve"> globin gene expression. Thus, we aimed to investigate the role of </w:t>
      </w:r>
      <w:proofErr w:type="spellStart"/>
      <w:r w:rsidRPr="00565AA5">
        <w:rPr>
          <w:rFonts w:eastAsia="Times New Roman" w:cs="Times New Roman"/>
          <w:color w:val="000000" w:themeColor="text1"/>
          <w:sz w:val="18"/>
          <w:szCs w:val="18"/>
          <w:lang w:eastAsia="en-GB"/>
        </w:rPr>
        <w:t>miRNAs</w:t>
      </w:r>
      <w:proofErr w:type="spellEnd"/>
      <w:r w:rsidRPr="00565AA5">
        <w:rPr>
          <w:rFonts w:eastAsia="Times New Roman" w:cs="Times New Roman"/>
          <w:color w:val="000000" w:themeColor="text1"/>
          <w:sz w:val="18"/>
          <w:szCs w:val="18"/>
          <w:lang w:eastAsia="en-GB"/>
        </w:rPr>
        <w:t xml:space="preserve"> in HU-mediated </w:t>
      </w:r>
      <w:proofErr w:type="spellStart"/>
      <w:r w:rsidRPr="00565AA5">
        <w:rPr>
          <w:rFonts w:eastAsia="Times New Roman" w:cs="Times New Roman"/>
          <w:color w:val="000000" w:themeColor="text1"/>
          <w:sz w:val="18"/>
          <w:szCs w:val="18"/>
          <w:lang w:eastAsia="en-GB"/>
        </w:rPr>
        <w:t>HbF</w:t>
      </w:r>
      <w:proofErr w:type="spellEnd"/>
      <w:r w:rsidRPr="00565AA5">
        <w:rPr>
          <w:rFonts w:eastAsia="Times New Roman" w:cs="Times New Roman"/>
          <w:color w:val="000000" w:themeColor="text1"/>
          <w:sz w:val="18"/>
          <w:szCs w:val="18"/>
          <w:lang w:eastAsia="en-GB"/>
        </w:rPr>
        <w:t xml:space="preserve"> induction in </w:t>
      </w:r>
      <w:proofErr w:type="spellStart"/>
      <w:r w:rsidRPr="00565AA5">
        <w:rPr>
          <w:rFonts w:eastAsia="Times New Roman" w:cs="Times New Roman"/>
          <w:color w:val="000000" w:themeColor="text1"/>
          <w:sz w:val="18"/>
          <w:szCs w:val="18"/>
          <w:lang w:eastAsia="en-GB"/>
        </w:rPr>
        <w:t>haemoglobinopathies</w:t>
      </w:r>
      <w:proofErr w:type="spellEnd"/>
      <w:r w:rsidRPr="00565AA5">
        <w:rPr>
          <w:rFonts w:eastAsia="Times New Roman" w:cs="Times New Roman"/>
          <w:color w:val="000000" w:themeColor="text1"/>
          <w:sz w:val="18"/>
          <w:szCs w:val="18"/>
          <w:lang w:eastAsia="en-GB"/>
        </w:rPr>
        <w:t xml:space="preserve"> patients. </w:t>
      </w:r>
      <w:r w:rsidRPr="00565AA5">
        <w:rPr>
          <w:sz w:val="18"/>
          <w:szCs w:val="18"/>
        </w:rPr>
        <w:t xml:space="preserve"> </w:t>
      </w:r>
      <w:r w:rsidRPr="00565AA5">
        <w:rPr>
          <w:b/>
          <w:bCs/>
          <w:sz w:val="18"/>
          <w:szCs w:val="18"/>
        </w:rPr>
        <w:t>Methodology &amp; Theoretical Orientation:</w:t>
      </w:r>
      <w:r w:rsidRPr="00565AA5">
        <w:rPr>
          <w:sz w:val="18"/>
          <w:szCs w:val="18"/>
        </w:rPr>
        <w:t xml:space="preserve"> </w:t>
      </w:r>
      <w:r w:rsidRPr="00565AA5">
        <w:rPr>
          <w:rFonts w:cs="Times New Roman"/>
          <w:color w:val="000000" w:themeColor="text1"/>
          <w:sz w:val="18"/>
          <w:szCs w:val="18"/>
        </w:rPr>
        <w:t xml:space="preserve">The study enrolled 50 thalassemia major, 50 thalassemia </w:t>
      </w:r>
      <w:proofErr w:type="spellStart"/>
      <w:r w:rsidRPr="00565AA5">
        <w:rPr>
          <w:rFonts w:cs="Times New Roman"/>
          <w:color w:val="000000" w:themeColor="text1"/>
          <w:sz w:val="18"/>
          <w:szCs w:val="18"/>
        </w:rPr>
        <w:t>intermedia</w:t>
      </w:r>
      <w:proofErr w:type="spellEnd"/>
      <w:r w:rsidRPr="00565AA5">
        <w:rPr>
          <w:rFonts w:cs="Times New Roman"/>
          <w:color w:val="000000" w:themeColor="text1"/>
          <w:sz w:val="18"/>
          <w:szCs w:val="18"/>
        </w:rPr>
        <w:t xml:space="preserve"> and 50 healthy controls. Global </w:t>
      </w:r>
      <w:proofErr w:type="spellStart"/>
      <w:r w:rsidRPr="00565AA5">
        <w:rPr>
          <w:rFonts w:cs="Times New Roman"/>
          <w:color w:val="000000" w:themeColor="text1"/>
          <w:sz w:val="18"/>
          <w:szCs w:val="18"/>
        </w:rPr>
        <w:t>miRNA</w:t>
      </w:r>
      <w:proofErr w:type="spellEnd"/>
      <w:r w:rsidRPr="00565AA5">
        <w:rPr>
          <w:rFonts w:cs="Times New Roman"/>
          <w:color w:val="000000" w:themeColor="text1"/>
          <w:sz w:val="18"/>
          <w:szCs w:val="18"/>
        </w:rPr>
        <w:t xml:space="preserve"> microarray expression of 750 </w:t>
      </w:r>
      <w:proofErr w:type="spellStart"/>
      <w:r w:rsidRPr="00565AA5">
        <w:rPr>
          <w:rFonts w:cs="Times New Roman"/>
          <w:color w:val="000000" w:themeColor="text1"/>
          <w:sz w:val="18"/>
          <w:szCs w:val="18"/>
        </w:rPr>
        <w:t>miRNAs</w:t>
      </w:r>
      <w:proofErr w:type="spellEnd"/>
      <w:r w:rsidRPr="00565AA5">
        <w:rPr>
          <w:rFonts w:cs="Times New Roman"/>
          <w:color w:val="000000" w:themeColor="text1"/>
          <w:sz w:val="18"/>
          <w:szCs w:val="18"/>
        </w:rPr>
        <w:t xml:space="preserve"> was studied using </w:t>
      </w:r>
      <w:proofErr w:type="spellStart"/>
      <w:r w:rsidRPr="00565AA5">
        <w:rPr>
          <w:rFonts w:cs="Times New Roman"/>
          <w:color w:val="000000" w:themeColor="text1"/>
          <w:sz w:val="18"/>
          <w:szCs w:val="18"/>
        </w:rPr>
        <w:t>Taqman</w:t>
      </w:r>
      <w:proofErr w:type="spellEnd"/>
      <w:r w:rsidRPr="00565AA5">
        <w:rPr>
          <w:rFonts w:cs="Times New Roman"/>
          <w:color w:val="000000" w:themeColor="text1"/>
          <w:sz w:val="18"/>
          <w:szCs w:val="18"/>
        </w:rPr>
        <w:t xml:space="preserve"> array cards. Customized </w:t>
      </w:r>
      <w:proofErr w:type="spellStart"/>
      <w:r w:rsidRPr="00565AA5">
        <w:rPr>
          <w:rFonts w:cs="Times New Roman"/>
          <w:color w:val="000000" w:themeColor="text1"/>
          <w:sz w:val="18"/>
          <w:szCs w:val="18"/>
        </w:rPr>
        <w:t>miRNA</w:t>
      </w:r>
      <w:proofErr w:type="spellEnd"/>
      <w:r w:rsidRPr="00565AA5">
        <w:rPr>
          <w:rFonts w:cs="Times New Roman"/>
          <w:color w:val="000000" w:themeColor="text1"/>
          <w:sz w:val="18"/>
          <w:szCs w:val="18"/>
        </w:rPr>
        <w:t xml:space="preserve"> panel was designed comprising 59 differentially expressed </w:t>
      </w:r>
      <w:proofErr w:type="spellStart"/>
      <w:r w:rsidRPr="00565AA5">
        <w:rPr>
          <w:rFonts w:cs="Times New Roman"/>
          <w:color w:val="000000" w:themeColor="text1"/>
          <w:sz w:val="18"/>
          <w:szCs w:val="18"/>
        </w:rPr>
        <w:t>miRNAs</w:t>
      </w:r>
      <w:proofErr w:type="spellEnd"/>
      <w:r w:rsidRPr="00565AA5">
        <w:rPr>
          <w:rFonts w:cs="Times New Roman"/>
          <w:color w:val="000000" w:themeColor="text1"/>
          <w:sz w:val="18"/>
          <w:szCs w:val="18"/>
        </w:rPr>
        <w:t xml:space="preserve">. Target genes of </w:t>
      </w:r>
      <w:proofErr w:type="spellStart"/>
      <w:r w:rsidRPr="00565AA5">
        <w:rPr>
          <w:rFonts w:cs="Times New Roman"/>
          <w:color w:val="000000" w:themeColor="text1"/>
          <w:sz w:val="18"/>
          <w:szCs w:val="18"/>
        </w:rPr>
        <w:t>miRNAs</w:t>
      </w:r>
      <w:proofErr w:type="spellEnd"/>
      <w:r w:rsidRPr="00565AA5">
        <w:rPr>
          <w:rFonts w:cs="Times New Roman"/>
          <w:color w:val="000000" w:themeColor="text1"/>
          <w:sz w:val="18"/>
          <w:szCs w:val="18"/>
        </w:rPr>
        <w:t xml:space="preserve"> were predicted using </w:t>
      </w:r>
      <w:r w:rsidRPr="00565AA5">
        <w:rPr>
          <w:rFonts w:cs="Times New Roman"/>
          <w:i/>
          <w:iCs/>
          <w:color w:val="000000" w:themeColor="text1"/>
          <w:sz w:val="18"/>
          <w:szCs w:val="18"/>
        </w:rPr>
        <w:t xml:space="preserve">in </w:t>
      </w:r>
      <w:proofErr w:type="spellStart"/>
      <w:r w:rsidRPr="00565AA5">
        <w:rPr>
          <w:rFonts w:cs="Times New Roman"/>
          <w:i/>
          <w:iCs/>
          <w:color w:val="000000" w:themeColor="text1"/>
          <w:sz w:val="18"/>
          <w:szCs w:val="18"/>
        </w:rPr>
        <w:t>silico</w:t>
      </w:r>
      <w:proofErr w:type="spellEnd"/>
      <w:r w:rsidRPr="00565AA5">
        <w:rPr>
          <w:rFonts w:cs="Times New Roman"/>
          <w:i/>
          <w:iCs/>
          <w:color w:val="000000" w:themeColor="text1"/>
          <w:sz w:val="18"/>
          <w:szCs w:val="18"/>
        </w:rPr>
        <w:t xml:space="preserve"> </w:t>
      </w:r>
      <w:r w:rsidRPr="00565AA5">
        <w:rPr>
          <w:rFonts w:cs="Times New Roman"/>
          <w:color w:val="000000" w:themeColor="text1"/>
          <w:sz w:val="18"/>
          <w:szCs w:val="18"/>
        </w:rPr>
        <w:t xml:space="preserve">tools. Functional validation of selected targets was studied by transfecting </w:t>
      </w:r>
      <w:proofErr w:type="spellStart"/>
      <w:r w:rsidRPr="00565AA5">
        <w:rPr>
          <w:rFonts w:cs="Times New Roman"/>
          <w:color w:val="000000" w:themeColor="text1"/>
          <w:sz w:val="18"/>
          <w:szCs w:val="18"/>
        </w:rPr>
        <w:t>miRNAs</w:t>
      </w:r>
      <w:proofErr w:type="spellEnd"/>
      <w:r w:rsidRPr="00565AA5">
        <w:rPr>
          <w:rFonts w:cs="Times New Roman"/>
          <w:color w:val="000000" w:themeColor="text1"/>
          <w:sz w:val="18"/>
          <w:szCs w:val="18"/>
        </w:rPr>
        <w:t xml:space="preserve"> in K562 cells and CD34+ cells. </w:t>
      </w:r>
      <w:proofErr w:type="spellStart"/>
      <w:proofErr w:type="gramStart"/>
      <w:r w:rsidRPr="00565AA5">
        <w:rPr>
          <w:rFonts w:cs="Times New Roman"/>
          <w:color w:val="000000" w:themeColor="text1"/>
          <w:sz w:val="18"/>
          <w:szCs w:val="18"/>
        </w:rPr>
        <w:t>miRNA</w:t>
      </w:r>
      <w:proofErr w:type="spellEnd"/>
      <w:proofErr w:type="gramEnd"/>
      <w:r w:rsidRPr="00565AA5">
        <w:rPr>
          <w:rFonts w:cs="Times New Roman"/>
          <w:color w:val="000000" w:themeColor="text1"/>
          <w:sz w:val="18"/>
          <w:szCs w:val="18"/>
        </w:rPr>
        <w:t xml:space="preserve"> pathways were enriched using KEGG pathways and designed using </w:t>
      </w:r>
      <w:proofErr w:type="spellStart"/>
      <w:r w:rsidRPr="00565AA5">
        <w:rPr>
          <w:rFonts w:cs="Times New Roman"/>
          <w:color w:val="000000" w:themeColor="text1"/>
          <w:sz w:val="18"/>
          <w:szCs w:val="18"/>
        </w:rPr>
        <w:t>StringDB</w:t>
      </w:r>
      <w:proofErr w:type="spellEnd"/>
      <w:r w:rsidRPr="00565AA5">
        <w:rPr>
          <w:rFonts w:cs="Times New Roman"/>
          <w:color w:val="000000" w:themeColor="text1"/>
          <w:sz w:val="18"/>
          <w:szCs w:val="18"/>
        </w:rPr>
        <w:t xml:space="preserve"> and </w:t>
      </w:r>
      <w:proofErr w:type="spellStart"/>
      <w:r w:rsidRPr="00565AA5">
        <w:rPr>
          <w:rFonts w:cs="Times New Roman"/>
          <w:color w:val="000000" w:themeColor="text1"/>
          <w:sz w:val="18"/>
          <w:szCs w:val="18"/>
        </w:rPr>
        <w:t>miRNet</w:t>
      </w:r>
      <w:proofErr w:type="spellEnd"/>
      <w:r w:rsidRPr="00565AA5">
        <w:rPr>
          <w:rFonts w:cs="Times New Roman"/>
          <w:color w:val="000000" w:themeColor="text1"/>
          <w:sz w:val="18"/>
          <w:szCs w:val="18"/>
        </w:rPr>
        <w:t xml:space="preserve"> software.</w:t>
      </w:r>
      <w:r w:rsidRPr="00565AA5">
        <w:rPr>
          <w:sz w:val="18"/>
          <w:szCs w:val="18"/>
        </w:rPr>
        <w:t xml:space="preserve"> </w:t>
      </w:r>
      <w:r w:rsidRPr="00565AA5">
        <w:rPr>
          <w:b/>
          <w:bCs/>
          <w:sz w:val="18"/>
          <w:szCs w:val="18"/>
        </w:rPr>
        <w:t>Findings:</w:t>
      </w:r>
      <w:r w:rsidRPr="00565AA5">
        <w:rPr>
          <w:rFonts w:cs="Times New Roman"/>
          <w:color w:val="000000" w:themeColor="text1"/>
          <w:sz w:val="18"/>
          <w:szCs w:val="18"/>
        </w:rPr>
        <w:t xml:space="preserve"> Microarray profile showed 42 </w:t>
      </w:r>
      <w:proofErr w:type="spellStart"/>
      <w:r w:rsidRPr="00565AA5">
        <w:rPr>
          <w:rFonts w:cs="Times New Roman"/>
          <w:color w:val="000000" w:themeColor="text1"/>
          <w:sz w:val="18"/>
          <w:szCs w:val="18"/>
        </w:rPr>
        <w:t>upregulated</w:t>
      </w:r>
      <w:proofErr w:type="spellEnd"/>
      <w:r w:rsidRPr="00565AA5">
        <w:rPr>
          <w:rFonts w:cs="Times New Roman"/>
          <w:color w:val="000000" w:themeColor="text1"/>
          <w:sz w:val="18"/>
          <w:szCs w:val="18"/>
        </w:rPr>
        <w:t xml:space="preserve"> and 17 </w:t>
      </w:r>
      <w:proofErr w:type="spellStart"/>
      <w:r w:rsidRPr="00565AA5">
        <w:rPr>
          <w:rFonts w:cs="Times New Roman"/>
          <w:color w:val="000000" w:themeColor="text1"/>
          <w:sz w:val="18"/>
          <w:szCs w:val="18"/>
        </w:rPr>
        <w:t>downregulated</w:t>
      </w:r>
      <w:proofErr w:type="spellEnd"/>
      <w:r w:rsidRPr="00565AA5">
        <w:rPr>
          <w:rFonts w:cs="Times New Roman"/>
          <w:color w:val="000000" w:themeColor="text1"/>
          <w:sz w:val="18"/>
          <w:szCs w:val="18"/>
        </w:rPr>
        <w:t xml:space="preserve"> </w:t>
      </w:r>
      <w:proofErr w:type="spellStart"/>
      <w:r w:rsidRPr="00565AA5">
        <w:rPr>
          <w:rFonts w:cs="Times New Roman"/>
          <w:color w:val="000000" w:themeColor="text1"/>
          <w:sz w:val="18"/>
          <w:szCs w:val="18"/>
        </w:rPr>
        <w:t>miRNAs</w:t>
      </w:r>
      <w:proofErr w:type="spellEnd"/>
      <w:r w:rsidRPr="00565AA5">
        <w:rPr>
          <w:rFonts w:cs="Times New Roman"/>
          <w:color w:val="000000" w:themeColor="text1"/>
          <w:sz w:val="18"/>
          <w:szCs w:val="18"/>
        </w:rPr>
        <w:t xml:space="preserve"> significantly after 3-and 6-months of </w:t>
      </w:r>
      <w:proofErr w:type="spellStart"/>
      <w:r w:rsidRPr="00565AA5">
        <w:rPr>
          <w:rFonts w:cs="Times New Roman"/>
          <w:color w:val="000000" w:themeColor="text1"/>
          <w:sz w:val="18"/>
          <w:szCs w:val="18"/>
        </w:rPr>
        <w:t>hydroxyurea</w:t>
      </w:r>
      <w:proofErr w:type="spellEnd"/>
      <w:r w:rsidRPr="00565AA5">
        <w:rPr>
          <w:rFonts w:cs="Times New Roman"/>
          <w:color w:val="000000" w:themeColor="text1"/>
          <w:sz w:val="18"/>
          <w:szCs w:val="18"/>
        </w:rPr>
        <w:t xml:space="preserve"> treatment (p&lt;0.001). Customized </w:t>
      </w:r>
      <w:proofErr w:type="spellStart"/>
      <w:r w:rsidRPr="00565AA5">
        <w:rPr>
          <w:rFonts w:cs="Times New Roman"/>
          <w:color w:val="000000" w:themeColor="text1"/>
          <w:sz w:val="18"/>
          <w:szCs w:val="18"/>
        </w:rPr>
        <w:t>miRNA</w:t>
      </w:r>
      <w:proofErr w:type="spellEnd"/>
      <w:r w:rsidRPr="00565AA5">
        <w:rPr>
          <w:rFonts w:cs="Times New Roman"/>
          <w:color w:val="000000" w:themeColor="text1"/>
          <w:sz w:val="18"/>
          <w:szCs w:val="18"/>
        </w:rPr>
        <w:t xml:space="preserve"> profile showed similar results to that of the global microarray. Differentially expressed </w:t>
      </w:r>
      <w:proofErr w:type="spellStart"/>
      <w:r w:rsidRPr="00565AA5">
        <w:rPr>
          <w:rFonts w:cs="Times New Roman"/>
          <w:color w:val="000000" w:themeColor="text1"/>
          <w:sz w:val="18"/>
          <w:szCs w:val="18"/>
        </w:rPr>
        <w:t>miRNAs</w:t>
      </w:r>
      <w:proofErr w:type="spellEnd"/>
      <w:r w:rsidRPr="00565AA5">
        <w:rPr>
          <w:rFonts w:cs="Times New Roman"/>
          <w:color w:val="000000" w:themeColor="text1"/>
          <w:sz w:val="18"/>
          <w:szCs w:val="18"/>
        </w:rPr>
        <w:t xml:space="preserve"> expression was correlated with HbG2 gene and </w:t>
      </w:r>
      <w:proofErr w:type="spellStart"/>
      <w:r w:rsidRPr="00565AA5">
        <w:rPr>
          <w:rFonts w:cs="Times New Roman"/>
          <w:color w:val="000000" w:themeColor="text1"/>
          <w:sz w:val="18"/>
          <w:szCs w:val="18"/>
        </w:rPr>
        <w:t>HbF</w:t>
      </w:r>
      <w:proofErr w:type="spellEnd"/>
      <w:r w:rsidRPr="00565AA5">
        <w:rPr>
          <w:rFonts w:cs="Times New Roman"/>
          <w:color w:val="000000" w:themeColor="text1"/>
          <w:sz w:val="18"/>
          <w:szCs w:val="18"/>
        </w:rPr>
        <w:t xml:space="preserve"> levels in patients and interestingly found that 13 </w:t>
      </w:r>
      <w:proofErr w:type="spellStart"/>
      <w:r w:rsidRPr="00565AA5">
        <w:rPr>
          <w:rFonts w:cs="Times New Roman"/>
          <w:color w:val="000000" w:themeColor="text1"/>
          <w:sz w:val="18"/>
          <w:szCs w:val="18"/>
        </w:rPr>
        <w:t>upregulated</w:t>
      </w:r>
      <w:proofErr w:type="spellEnd"/>
      <w:r w:rsidRPr="00565AA5">
        <w:rPr>
          <w:rFonts w:cs="Times New Roman"/>
          <w:color w:val="000000" w:themeColor="text1"/>
          <w:sz w:val="18"/>
          <w:szCs w:val="18"/>
        </w:rPr>
        <w:t xml:space="preserve"> and 6 </w:t>
      </w:r>
      <w:proofErr w:type="spellStart"/>
      <w:r w:rsidRPr="00565AA5">
        <w:rPr>
          <w:rFonts w:cs="Times New Roman"/>
          <w:color w:val="000000" w:themeColor="text1"/>
          <w:sz w:val="18"/>
          <w:szCs w:val="18"/>
        </w:rPr>
        <w:t>downregulated</w:t>
      </w:r>
      <w:proofErr w:type="spellEnd"/>
      <w:r w:rsidRPr="00565AA5">
        <w:rPr>
          <w:rFonts w:cs="Times New Roman"/>
          <w:color w:val="000000" w:themeColor="text1"/>
          <w:sz w:val="18"/>
          <w:szCs w:val="18"/>
        </w:rPr>
        <w:t xml:space="preserve"> </w:t>
      </w:r>
      <w:proofErr w:type="spellStart"/>
      <w:r w:rsidRPr="00565AA5">
        <w:rPr>
          <w:rFonts w:cs="Times New Roman"/>
          <w:color w:val="000000" w:themeColor="text1"/>
          <w:sz w:val="18"/>
          <w:szCs w:val="18"/>
        </w:rPr>
        <w:t>miRNAs</w:t>
      </w:r>
      <w:proofErr w:type="spellEnd"/>
      <w:r w:rsidRPr="00565AA5">
        <w:rPr>
          <w:rFonts w:cs="Times New Roman"/>
          <w:color w:val="000000" w:themeColor="text1"/>
          <w:sz w:val="18"/>
          <w:szCs w:val="18"/>
        </w:rPr>
        <w:t xml:space="preserve"> significantly correlated with HbG2 expression and </w:t>
      </w:r>
      <w:proofErr w:type="spellStart"/>
      <w:r w:rsidRPr="00565AA5">
        <w:rPr>
          <w:rFonts w:cs="Times New Roman"/>
          <w:color w:val="000000" w:themeColor="text1"/>
          <w:sz w:val="18"/>
          <w:szCs w:val="18"/>
        </w:rPr>
        <w:t>HbF</w:t>
      </w:r>
      <w:proofErr w:type="spellEnd"/>
      <w:r w:rsidRPr="00565AA5">
        <w:rPr>
          <w:rFonts w:cs="Times New Roman"/>
          <w:color w:val="000000" w:themeColor="text1"/>
          <w:sz w:val="18"/>
          <w:szCs w:val="18"/>
        </w:rPr>
        <w:t xml:space="preserve"> levels in patients (p&lt;0.001). In </w:t>
      </w:r>
      <w:proofErr w:type="spellStart"/>
      <w:r w:rsidRPr="00565AA5">
        <w:rPr>
          <w:rFonts w:cs="Times New Roman"/>
          <w:color w:val="000000" w:themeColor="text1"/>
          <w:sz w:val="18"/>
          <w:szCs w:val="18"/>
        </w:rPr>
        <w:t>silico</w:t>
      </w:r>
      <w:proofErr w:type="spellEnd"/>
      <w:r w:rsidRPr="00565AA5">
        <w:rPr>
          <w:rFonts w:cs="Times New Roman"/>
          <w:color w:val="000000" w:themeColor="text1"/>
          <w:sz w:val="18"/>
          <w:szCs w:val="18"/>
        </w:rPr>
        <w:t xml:space="preserve"> tools predicted the target genes of these 19 </w:t>
      </w:r>
      <w:proofErr w:type="spellStart"/>
      <w:r w:rsidRPr="00565AA5">
        <w:rPr>
          <w:rFonts w:cs="Times New Roman"/>
          <w:color w:val="000000" w:themeColor="text1"/>
          <w:sz w:val="18"/>
          <w:szCs w:val="18"/>
        </w:rPr>
        <w:t>miRNAs</w:t>
      </w:r>
      <w:proofErr w:type="spellEnd"/>
      <w:r w:rsidRPr="00565AA5">
        <w:rPr>
          <w:rFonts w:cs="Times New Roman"/>
          <w:color w:val="000000" w:themeColor="text1"/>
          <w:sz w:val="18"/>
          <w:szCs w:val="18"/>
        </w:rPr>
        <w:t xml:space="preserve"> and interestingly found that BCL11A, MYB, KLF1, GATA-1 are the most common targets shared by these </w:t>
      </w:r>
      <w:proofErr w:type="spellStart"/>
      <w:r w:rsidRPr="00565AA5">
        <w:rPr>
          <w:rFonts w:cs="Times New Roman"/>
          <w:color w:val="000000" w:themeColor="text1"/>
          <w:sz w:val="18"/>
          <w:szCs w:val="18"/>
        </w:rPr>
        <w:t>miRNAs</w:t>
      </w:r>
      <w:proofErr w:type="spellEnd"/>
      <w:r w:rsidRPr="00565AA5">
        <w:rPr>
          <w:rFonts w:cs="Times New Roman"/>
          <w:color w:val="000000" w:themeColor="text1"/>
          <w:sz w:val="18"/>
          <w:szCs w:val="18"/>
        </w:rPr>
        <w:t xml:space="preserve">. The role of </w:t>
      </w:r>
      <w:proofErr w:type="spellStart"/>
      <w:r w:rsidRPr="00565AA5">
        <w:rPr>
          <w:rFonts w:cs="Times New Roman"/>
          <w:color w:val="000000" w:themeColor="text1"/>
          <w:sz w:val="18"/>
          <w:szCs w:val="18"/>
        </w:rPr>
        <w:t>miRNAs</w:t>
      </w:r>
      <w:proofErr w:type="spellEnd"/>
      <w:r w:rsidRPr="00565AA5">
        <w:rPr>
          <w:rFonts w:cs="Times New Roman"/>
          <w:color w:val="000000" w:themeColor="text1"/>
          <w:sz w:val="18"/>
          <w:szCs w:val="18"/>
        </w:rPr>
        <w:t xml:space="preserve"> was elucidated by transfecting </w:t>
      </w:r>
      <w:proofErr w:type="spellStart"/>
      <w:r w:rsidRPr="00565AA5">
        <w:rPr>
          <w:rFonts w:cs="Times New Roman"/>
          <w:color w:val="000000" w:themeColor="text1"/>
          <w:sz w:val="18"/>
          <w:szCs w:val="18"/>
        </w:rPr>
        <w:t>miR</w:t>
      </w:r>
      <w:proofErr w:type="spellEnd"/>
      <w:r w:rsidRPr="00565AA5">
        <w:rPr>
          <w:rFonts w:cs="Times New Roman"/>
          <w:color w:val="000000" w:themeColor="text1"/>
          <w:sz w:val="18"/>
          <w:szCs w:val="18"/>
        </w:rPr>
        <w:t xml:space="preserve">-mimic and </w:t>
      </w:r>
      <w:proofErr w:type="spellStart"/>
      <w:r w:rsidRPr="00565AA5">
        <w:rPr>
          <w:rFonts w:cs="Times New Roman"/>
          <w:color w:val="000000" w:themeColor="text1"/>
          <w:sz w:val="18"/>
          <w:szCs w:val="18"/>
        </w:rPr>
        <w:t>antimiRs</w:t>
      </w:r>
      <w:proofErr w:type="spellEnd"/>
      <w:r w:rsidRPr="00565AA5">
        <w:rPr>
          <w:rFonts w:cs="Times New Roman"/>
          <w:color w:val="000000" w:themeColor="text1"/>
          <w:sz w:val="18"/>
          <w:szCs w:val="18"/>
        </w:rPr>
        <w:t xml:space="preserve"> K562 and CD34+ cells which revealed that these </w:t>
      </w:r>
      <w:proofErr w:type="spellStart"/>
      <w:r w:rsidRPr="00565AA5">
        <w:rPr>
          <w:rFonts w:cs="Times New Roman"/>
          <w:color w:val="000000" w:themeColor="text1"/>
          <w:sz w:val="18"/>
          <w:szCs w:val="18"/>
        </w:rPr>
        <w:t>miRNAs</w:t>
      </w:r>
      <w:proofErr w:type="spellEnd"/>
      <w:r w:rsidRPr="00565AA5">
        <w:rPr>
          <w:rFonts w:cs="Times New Roman"/>
          <w:color w:val="000000" w:themeColor="text1"/>
          <w:sz w:val="18"/>
          <w:szCs w:val="18"/>
        </w:rPr>
        <w:t xml:space="preserve"> induce HbG2 gene expression by modulating BCL11A, MYB, KLF1, </w:t>
      </w:r>
      <w:proofErr w:type="gramStart"/>
      <w:r w:rsidRPr="00565AA5">
        <w:rPr>
          <w:rFonts w:cs="Times New Roman"/>
          <w:color w:val="000000" w:themeColor="text1"/>
          <w:sz w:val="18"/>
          <w:szCs w:val="18"/>
        </w:rPr>
        <w:t>GATA</w:t>
      </w:r>
      <w:proofErr w:type="gramEnd"/>
      <w:r w:rsidRPr="00565AA5">
        <w:rPr>
          <w:rFonts w:cs="Times New Roman"/>
          <w:color w:val="000000" w:themeColor="text1"/>
          <w:sz w:val="18"/>
          <w:szCs w:val="18"/>
        </w:rPr>
        <w:t xml:space="preserve">-1. </w:t>
      </w:r>
      <w:r w:rsidRPr="00565AA5">
        <w:rPr>
          <w:rFonts w:cs="Times New Roman"/>
          <w:b/>
          <w:bCs/>
          <w:color w:val="000000" w:themeColor="text1"/>
          <w:sz w:val="18"/>
          <w:szCs w:val="18"/>
        </w:rPr>
        <w:t xml:space="preserve">(Figure 1) </w:t>
      </w:r>
      <w:r w:rsidRPr="00565AA5">
        <w:rPr>
          <w:b/>
          <w:bCs/>
          <w:sz w:val="18"/>
          <w:szCs w:val="18"/>
        </w:rPr>
        <w:t>Conclusion &amp; Significance:</w:t>
      </w:r>
      <w:r w:rsidRPr="00565AA5">
        <w:rPr>
          <w:sz w:val="18"/>
          <w:szCs w:val="18"/>
        </w:rPr>
        <w:t xml:space="preserve"> </w:t>
      </w:r>
      <w:r w:rsidRPr="00565AA5">
        <w:rPr>
          <w:rFonts w:cs="Times New Roman"/>
          <w:color w:val="000000" w:themeColor="text1"/>
          <w:sz w:val="18"/>
          <w:szCs w:val="18"/>
        </w:rPr>
        <w:t>Thus, our study speculates the role of</w:t>
      </w:r>
      <w:r w:rsidRPr="00565AA5">
        <w:rPr>
          <w:rFonts w:cs="Times New Roman"/>
          <w:bCs/>
          <w:color w:val="000000" w:themeColor="text1"/>
          <w:sz w:val="18"/>
          <w:szCs w:val="18"/>
        </w:rPr>
        <w:t xml:space="preserve"> </w:t>
      </w:r>
      <w:proofErr w:type="spellStart"/>
      <w:r w:rsidRPr="00565AA5">
        <w:rPr>
          <w:rFonts w:cs="Times New Roman"/>
          <w:bCs/>
          <w:color w:val="000000" w:themeColor="text1"/>
          <w:sz w:val="18"/>
          <w:szCs w:val="18"/>
        </w:rPr>
        <w:t>miRNAs</w:t>
      </w:r>
      <w:proofErr w:type="spellEnd"/>
      <w:r w:rsidRPr="00565AA5">
        <w:rPr>
          <w:rFonts w:cs="Times New Roman"/>
          <w:bCs/>
          <w:color w:val="000000" w:themeColor="text1"/>
          <w:sz w:val="18"/>
          <w:szCs w:val="18"/>
        </w:rPr>
        <w:t xml:space="preserve"> responsible for regulation of </w:t>
      </w:r>
      <w:r w:rsidRPr="00565AA5">
        <w:rPr>
          <w:rFonts w:ascii="Calibri" w:hAnsi="Calibri" w:cs="Calibri"/>
          <w:color w:val="0D0D0D"/>
          <w:sz w:val="18"/>
          <w:szCs w:val="18"/>
          <w:lang w:val="en-GB"/>
        </w:rPr>
        <w:t>γ</w:t>
      </w:r>
      <w:r w:rsidRPr="00565AA5">
        <w:rPr>
          <w:rFonts w:cs="Times New Roman"/>
          <w:color w:val="0D0D0D"/>
          <w:sz w:val="18"/>
          <w:szCs w:val="18"/>
          <w:lang w:val="en-GB"/>
        </w:rPr>
        <w:t xml:space="preserve"> globin and thereby ameliorating clinical severity in patients</w:t>
      </w:r>
      <w:r w:rsidRPr="00565AA5">
        <w:rPr>
          <w:rFonts w:cs="Times New Roman"/>
          <w:bCs/>
          <w:color w:val="000000" w:themeColor="text1"/>
          <w:sz w:val="18"/>
          <w:szCs w:val="18"/>
        </w:rPr>
        <w:t xml:space="preserve">. </w:t>
      </w:r>
    </w:p>
    <w:p w14:paraId="67ECDD43" w14:textId="77777777"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14:paraId="04F1350D" w14:textId="12C4DB68" w:rsidR="00AE3E37" w:rsidRDefault="00565AA5">
      <w:pPr>
        <w:pStyle w:val="BodyText"/>
        <w:spacing w:before="2"/>
        <w:rPr>
          <w:rFonts w:ascii="Arial"/>
          <w:b/>
          <w:sz w:val="16"/>
        </w:rPr>
      </w:pPr>
      <w:r w:rsidRPr="00570A51">
        <w:rPr>
          <w:noProof/>
        </w:rPr>
        <w:drawing>
          <wp:inline distT="0" distB="0" distL="0" distR="0" wp14:anchorId="2521E898" wp14:editId="6EB448B4">
            <wp:extent cx="3165475" cy="2161379"/>
            <wp:effectExtent l="12700" t="12700" r="9525" b="1079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216137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48CE1CE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55B315BD" w14:textId="77777777" w:rsidR="00565AA5" w:rsidRPr="00450DF1" w:rsidRDefault="00565AA5" w:rsidP="00565AA5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rFonts w:ascii="Tw Cen MT" w:eastAsia="Tw Cen MT" w:hAnsi="Tw Cen MT" w:cs="Times New Roman"/>
          <w:color w:val="000000" w:themeColor="text1"/>
          <w:sz w:val="18"/>
          <w:szCs w:val="18"/>
        </w:rPr>
      </w:pPr>
      <w:proofErr w:type="spellStart"/>
      <w:r w:rsidRPr="00450DF1">
        <w:rPr>
          <w:rFonts w:ascii="Tw Cen MT" w:eastAsia="Tw Cen MT" w:hAnsi="Tw Cen MT" w:cs="Times New Roman"/>
          <w:color w:val="000000" w:themeColor="text1"/>
          <w:sz w:val="18"/>
          <w:szCs w:val="18"/>
        </w:rPr>
        <w:t>Kargutkar</w:t>
      </w:r>
      <w:proofErr w:type="spellEnd"/>
      <w:r w:rsidRPr="00450DF1">
        <w:rPr>
          <w:rFonts w:ascii="Tw Cen MT" w:eastAsia="Tw Cen MT" w:hAnsi="Tw Cen MT" w:cs="Times New Roman"/>
          <w:color w:val="000000" w:themeColor="text1"/>
          <w:sz w:val="18"/>
          <w:szCs w:val="18"/>
        </w:rPr>
        <w:t xml:space="preserve"> N, </w:t>
      </w:r>
      <w:proofErr w:type="spellStart"/>
      <w:r w:rsidRPr="00450DF1">
        <w:rPr>
          <w:rFonts w:ascii="Tw Cen MT" w:eastAsia="Tw Cen MT" w:hAnsi="Tw Cen MT" w:cs="Times New Roman"/>
          <w:color w:val="000000" w:themeColor="text1"/>
          <w:sz w:val="18"/>
          <w:szCs w:val="18"/>
        </w:rPr>
        <w:t>Sawant-Mulay</w:t>
      </w:r>
      <w:proofErr w:type="spellEnd"/>
      <w:r w:rsidRPr="00450DF1">
        <w:rPr>
          <w:rFonts w:ascii="Tw Cen MT" w:eastAsia="Tw Cen MT" w:hAnsi="Tw Cen MT" w:cs="Times New Roman"/>
          <w:color w:val="000000" w:themeColor="text1"/>
          <w:sz w:val="18"/>
          <w:szCs w:val="18"/>
        </w:rPr>
        <w:t xml:space="preserve"> M, </w:t>
      </w:r>
      <w:proofErr w:type="spellStart"/>
      <w:r w:rsidRPr="00450DF1">
        <w:rPr>
          <w:rFonts w:ascii="Tw Cen MT" w:eastAsia="Tw Cen MT" w:hAnsi="Tw Cen MT" w:cs="Times New Roman"/>
          <w:color w:val="000000" w:themeColor="text1"/>
          <w:sz w:val="18"/>
          <w:szCs w:val="18"/>
        </w:rPr>
        <w:t>Hariharan</w:t>
      </w:r>
      <w:proofErr w:type="spellEnd"/>
      <w:r w:rsidRPr="00450DF1">
        <w:rPr>
          <w:rFonts w:ascii="Tw Cen MT" w:eastAsia="Tw Cen MT" w:hAnsi="Tw Cen MT" w:cs="Times New Roman"/>
          <w:color w:val="000000" w:themeColor="text1"/>
          <w:sz w:val="18"/>
          <w:szCs w:val="18"/>
        </w:rPr>
        <w:t xml:space="preserve"> P, </w:t>
      </w:r>
      <w:proofErr w:type="spellStart"/>
      <w:r w:rsidRPr="00450DF1">
        <w:rPr>
          <w:rFonts w:ascii="Tw Cen MT" w:eastAsia="Tw Cen MT" w:hAnsi="Tw Cen MT" w:cs="Times New Roman"/>
          <w:color w:val="000000" w:themeColor="text1"/>
          <w:sz w:val="18"/>
          <w:szCs w:val="18"/>
        </w:rPr>
        <w:t>Chandrakala</w:t>
      </w:r>
      <w:proofErr w:type="spellEnd"/>
      <w:r w:rsidRPr="00450DF1">
        <w:rPr>
          <w:rFonts w:ascii="Tw Cen MT" w:eastAsia="Tw Cen MT" w:hAnsi="Tw Cen MT" w:cs="Times New Roman"/>
          <w:color w:val="000000" w:themeColor="text1"/>
          <w:sz w:val="18"/>
          <w:szCs w:val="18"/>
        </w:rPr>
        <w:t xml:space="preserve"> S, </w:t>
      </w:r>
      <w:proofErr w:type="spellStart"/>
      <w:r w:rsidRPr="00450DF1">
        <w:rPr>
          <w:rFonts w:ascii="Tw Cen MT" w:eastAsia="Tw Cen MT" w:hAnsi="Tw Cen MT" w:cs="Times New Roman"/>
          <w:color w:val="000000" w:themeColor="text1"/>
          <w:sz w:val="18"/>
          <w:szCs w:val="18"/>
        </w:rPr>
        <w:t>Nadkarni</w:t>
      </w:r>
      <w:proofErr w:type="spellEnd"/>
      <w:r w:rsidRPr="00450DF1">
        <w:rPr>
          <w:rFonts w:ascii="Tw Cen MT" w:eastAsia="Tw Cen MT" w:hAnsi="Tw Cen MT" w:cs="Times New Roman"/>
          <w:color w:val="000000" w:themeColor="text1"/>
          <w:sz w:val="18"/>
          <w:szCs w:val="18"/>
        </w:rPr>
        <w:t xml:space="preserve"> A. Role of microRNA in </w:t>
      </w:r>
      <w:proofErr w:type="spellStart"/>
      <w:r w:rsidRPr="00450DF1">
        <w:rPr>
          <w:rFonts w:ascii="Tw Cen MT" w:eastAsia="Tw Cen MT" w:hAnsi="Tw Cen MT" w:cs="Times New Roman"/>
          <w:color w:val="000000" w:themeColor="text1"/>
          <w:sz w:val="18"/>
          <w:szCs w:val="18"/>
        </w:rPr>
        <w:t>hydroxyurea</w:t>
      </w:r>
      <w:proofErr w:type="spellEnd"/>
      <w:r w:rsidRPr="00450DF1">
        <w:rPr>
          <w:rFonts w:ascii="Tw Cen MT" w:eastAsia="Tw Cen MT" w:hAnsi="Tw Cen MT" w:cs="Times New Roman"/>
          <w:color w:val="000000" w:themeColor="text1"/>
          <w:sz w:val="18"/>
          <w:szCs w:val="18"/>
        </w:rPr>
        <w:t xml:space="preserve"> mediated </w:t>
      </w:r>
      <w:proofErr w:type="spellStart"/>
      <w:r w:rsidRPr="00450DF1">
        <w:rPr>
          <w:rFonts w:ascii="Tw Cen MT" w:eastAsia="Tw Cen MT" w:hAnsi="Tw Cen MT" w:cs="Times New Roman"/>
          <w:color w:val="000000" w:themeColor="text1"/>
          <w:sz w:val="18"/>
          <w:szCs w:val="18"/>
        </w:rPr>
        <w:t>HbF</w:t>
      </w:r>
      <w:proofErr w:type="spellEnd"/>
      <w:r w:rsidRPr="00450DF1">
        <w:rPr>
          <w:rFonts w:ascii="Tw Cen MT" w:eastAsia="Tw Cen MT" w:hAnsi="Tw Cen MT" w:cs="Times New Roman"/>
          <w:color w:val="000000" w:themeColor="text1"/>
          <w:sz w:val="18"/>
          <w:szCs w:val="18"/>
        </w:rPr>
        <w:t xml:space="preserve"> induction in sickle cell </w:t>
      </w:r>
      <w:proofErr w:type="spellStart"/>
      <w:r w:rsidRPr="00450DF1">
        <w:rPr>
          <w:rFonts w:ascii="Tw Cen MT" w:eastAsia="Tw Cen MT" w:hAnsi="Tw Cen MT" w:cs="Times New Roman"/>
          <w:color w:val="000000" w:themeColor="text1"/>
          <w:sz w:val="18"/>
          <w:szCs w:val="18"/>
        </w:rPr>
        <w:t>anaemia</w:t>
      </w:r>
      <w:proofErr w:type="spellEnd"/>
      <w:r w:rsidRPr="00450DF1">
        <w:rPr>
          <w:rFonts w:ascii="Tw Cen MT" w:eastAsia="Tw Cen MT" w:hAnsi="Tw Cen MT" w:cs="Times New Roman"/>
          <w:color w:val="000000" w:themeColor="text1"/>
          <w:sz w:val="18"/>
          <w:szCs w:val="18"/>
        </w:rPr>
        <w:t xml:space="preserve"> patients. Scientific Reports. 2023 Jan 7</w:t>
      </w:r>
      <w:proofErr w:type="gramStart"/>
      <w:r w:rsidRPr="00450DF1">
        <w:rPr>
          <w:rFonts w:ascii="Tw Cen MT" w:eastAsia="Tw Cen MT" w:hAnsi="Tw Cen MT" w:cs="Times New Roman"/>
          <w:color w:val="000000" w:themeColor="text1"/>
          <w:sz w:val="18"/>
          <w:szCs w:val="18"/>
        </w:rPr>
        <w:t>;13</w:t>
      </w:r>
      <w:proofErr w:type="gramEnd"/>
      <w:r w:rsidRPr="00450DF1">
        <w:rPr>
          <w:rFonts w:ascii="Tw Cen MT" w:eastAsia="Tw Cen MT" w:hAnsi="Tw Cen MT" w:cs="Times New Roman"/>
          <w:color w:val="000000" w:themeColor="text1"/>
          <w:sz w:val="18"/>
          <w:szCs w:val="18"/>
        </w:rPr>
        <w:t>(1):1-2.</w:t>
      </w:r>
    </w:p>
    <w:p w14:paraId="5255DE95" w14:textId="77777777" w:rsidR="00565AA5" w:rsidRPr="00450DF1" w:rsidRDefault="00565AA5" w:rsidP="00565AA5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rFonts w:ascii="Tw Cen MT" w:eastAsia="Tw Cen MT" w:hAnsi="Tw Cen MT" w:cs="Times New Roman"/>
          <w:color w:val="000000" w:themeColor="text1"/>
          <w:sz w:val="18"/>
          <w:szCs w:val="18"/>
        </w:rPr>
      </w:pPr>
      <w:proofErr w:type="spellStart"/>
      <w:r w:rsidRPr="00450DF1">
        <w:rPr>
          <w:rFonts w:ascii="Tw Cen MT" w:eastAsia="Tw Cen MT" w:hAnsi="Tw Cen MT" w:cs="Times New Roman"/>
          <w:color w:val="000000" w:themeColor="text1"/>
          <w:sz w:val="18"/>
          <w:szCs w:val="18"/>
        </w:rPr>
        <w:t>Kargutkar</w:t>
      </w:r>
      <w:proofErr w:type="spellEnd"/>
      <w:r w:rsidRPr="00450DF1">
        <w:rPr>
          <w:rFonts w:ascii="Tw Cen MT" w:eastAsia="Tw Cen MT" w:hAnsi="Tw Cen MT" w:cs="Times New Roman"/>
          <w:color w:val="000000" w:themeColor="text1"/>
          <w:sz w:val="18"/>
          <w:szCs w:val="18"/>
        </w:rPr>
        <w:t xml:space="preserve"> N, </w:t>
      </w:r>
      <w:proofErr w:type="spellStart"/>
      <w:r w:rsidRPr="00450DF1">
        <w:rPr>
          <w:rFonts w:ascii="Tw Cen MT" w:eastAsia="Tw Cen MT" w:hAnsi="Tw Cen MT" w:cs="Times New Roman"/>
          <w:color w:val="000000" w:themeColor="text1"/>
          <w:sz w:val="18"/>
          <w:szCs w:val="18"/>
        </w:rPr>
        <w:t>Hariharan</w:t>
      </w:r>
      <w:proofErr w:type="spellEnd"/>
      <w:r w:rsidRPr="00450DF1">
        <w:rPr>
          <w:rFonts w:ascii="Tw Cen MT" w:eastAsia="Tw Cen MT" w:hAnsi="Tw Cen MT" w:cs="Times New Roman"/>
          <w:color w:val="000000" w:themeColor="text1"/>
          <w:sz w:val="18"/>
          <w:szCs w:val="18"/>
        </w:rPr>
        <w:t xml:space="preserve"> P, </w:t>
      </w:r>
      <w:proofErr w:type="spellStart"/>
      <w:r w:rsidRPr="00450DF1">
        <w:rPr>
          <w:rFonts w:ascii="Tw Cen MT" w:eastAsia="Tw Cen MT" w:hAnsi="Tw Cen MT" w:cs="Times New Roman"/>
          <w:color w:val="000000" w:themeColor="text1"/>
          <w:sz w:val="18"/>
          <w:szCs w:val="18"/>
        </w:rPr>
        <w:t>Nadkarni</w:t>
      </w:r>
      <w:proofErr w:type="spellEnd"/>
      <w:r w:rsidRPr="00450DF1">
        <w:rPr>
          <w:rFonts w:ascii="Tw Cen MT" w:eastAsia="Tw Cen MT" w:hAnsi="Tw Cen MT" w:cs="Times New Roman"/>
          <w:color w:val="000000" w:themeColor="text1"/>
          <w:sz w:val="18"/>
          <w:szCs w:val="18"/>
        </w:rPr>
        <w:t xml:space="preserve"> A. Dynamic interplay of microRNA in diseases and therapeutic. Clinical Genetics. 2022 Oct 30.</w:t>
      </w:r>
    </w:p>
    <w:p w14:paraId="4348DBB0" w14:textId="77777777" w:rsidR="00565AA5" w:rsidRPr="00450DF1" w:rsidRDefault="00565AA5" w:rsidP="00565AA5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rFonts w:ascii="Tw Cen MT" w:eastAsia="Tw Cen MT" w:hAnsi="Tw Cen MT" w:cs="Times New Roman"/>
          <w:color w:val="000000" w:themeColor="text1"/>
          <w:sz w:val="18"/>
          <w:szCs w:val="18"/>
        </w:rPr>
      </w:pPr>
      <w:proofErr w:type="spellStart"/>
      <w:r w:rsidRPr="00450DF1">
        <w:rPr>
          <w:rFonts w:ascii="Tw Cen MT" w:eastAsia="Tw Cen MT" w:hAnsi="Tw Cen MT" w:cs="Times New Roman"/>
          <w:color w:val="000000" w:themeColor="text1"/>
          <w:sz w:val="18"/>
          <w:szCs w:val="18"/>
        </w:rPr>
        <w:t>Colaco</w:t>
      </w:r>
      <w:proofErr w:type="spellEnd"/>
      <w:r w:rsidRPr="00450DF1">
        <w:rPr>
          <w:rFonts w:ascii="Tw Cen MT" w:eastAsia="Tw Cen MT" w:hAnsi="Tw Cen MT" w:cs="Times New Roman"/>
          <w:color w:val="000000" w:themeColor="text1"/>
          <w:sz w:val="18"/>
          <w:szCs w:val="18"/>
        </w:rPr>
        <w:t xml:space="preserve"> S, </w:t>
      </w:r>
      <w:proofErr w:type="spellStart"/>
      <w:r w:rsidRPr="00450DF1">
        <w:rPr>
          <w:rFonts w:ascii="Tw Cen MT" w:eastAsia="Tw Cen MT" w:hAnsi="Tw Cen MT" w:cs="Times New Roman"/>
          <w:color w:val="000000" w:themeColor="text1"/>
          <w:sz w:val="18"/>
          <w:szCs w:val="18"/>
        </w:rPr>
        <w:t>Nadkarni</w:t>
      </w:r>
      <w:proofErr w:type="spellEnd"/>
      <w:r w:rsidRPr="00450DF1">
        <w:rPr>
          <w:rFonts w:ascii="Tw Cen MT" w:eastAsia="Tw Cen MT" w:hAnsi="Tw Cen MT" w:cs="Times New Roman"/>
          <w:color w:val="000000" w:themeColor="text1"/>
          <w:sz w:val="18"/>
          <w:szCs w:val="18"/>
        </w:rPr>
        <w:t xml:space="preserve"> A. Borderline HbA2 levels: Dilemma in diagnosis of beta-thalassemia carriers. Mutation Research/Reviews in Mutation Research. 2021 Jul 1</w:t>
      </w:r>
      <w:proofErr w:type="gramStart"/>
      <w:r w:rsidRPr="00450DF1">
        <w:rPr>
          <w:rFonts w:ascii="Tw Cen MT" w:eastAsia="Tw Cen MT" w:hAnsi="Tw Cen MT" w:cs="Times New Roman"/>
          <w:color w:val="000000" w:themeColor="text1"/>
          <w:sz w:val="18"/>
          <w:szCs w:val="18"/>
        </w:rPr>
        <w:t>;788:108387</w:t>
      </w:r>
      <w:proofErr w:type="gramEnd"/>
      <w:r w:rsidRPr="00450DF1">
        <w:rPr>
          <w:rFonts w:ascii="Tw Cen MT" w:eastAsia="Tw Cen MT" w:hAnsi="Tw Cen MT" w:cs="Times New Roman"/>
          <w:color w:val="000000" w:themeColor="text1"/>
          <w:sz w:val="18"/>
          <w:szCs w:val="18"/>
        </w:rPr>
        <w:t>.</w:t>
      </w:r>
    </w:p>
    <w:p w14:paraId="5D20B572" w14:textId="77777777" w:rsidR="00565AA5" w:rsidRPr="00450DF1" w:rsidRDefault="00565AA5" w:rsidP="00565AA5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rFonts w:ascii="Tw Cen MT" w:eastAsia="Tw Cen MT" w:hAnsi="Tw Cen MT" w:cs="Times New Roman"/>
          <w:color w:val="000000" w:themeColor="text1"/>
          <w:sz w:val="18"/>
          <w:szCs w:val="18"/>
        </w:rPr>
      </w:pPr>
      <w:proofErr w:type="spellStart"/>
      <w:r w:rsidRPr="00450DF1">
        <w:rPr>
          <w:rFonts w:ascii="Tw Cen MT" w:eastAsia="Tw Cen MT" w:hAnsi="Tw Cen MT" w:cs="Times New Roman"/>
          <w:color w:val="000000" w:themeColor="text1"/>
          <w:sz w:val="18"/>
          <w:szCs w:val="18"/>
        </w:rPr>
        <w:t>Hariharan</w:t>
      </w:r>
      <w:proofErr w:type="spellEnd"/>
      <w:r w:rsidRPr="00450DF1">
        <w:rPr>
          <w:rFonts w:ascii="Tw Cen MT" w:eastAsia="Tw Cen MT" w:hAnsi="Tw Cen MT" w:cs="Times New Roman"/>
          <w:color w:val="000000" w:themeColor="text1"/>
          <w:sz w:val="18"/>
          <w:szCs w:val="18"/>
        </w:rPr>
        <w:t xml:space="preserve"> P, </w:t>
      </w:r>
      <w:proofErr w:type="spellStart"/>
      <w:r w:rsidRPr="00450DF1">
        <w:rPr>
          <w:rFonts w:ascii="Tw Cen MT" w:eastAsia="Tw Cen MT" w:hAnsi="Tw Cen MT" w:cs="Times New Roman"/>
          <w:color w:val="000000" w:themeColor="text1"/>
          <w:sz w:val="18"/>
          <w:szCs w:val="18"/>
        </w:rPr>
        <w:t>Gorivale</w:t>
      </w:r>
      <w:proofErr w:type="spellEnd"/>
      <w:r w:rsidRPr="00450DF1">
        <w:rPr>
          <w:rFonts w:ascii="Tw Cen MT" w:eastAsia="Tw Cen MT" w:hAnsi="Tw Cen MT" w:cs="Times New Roman"/>
          <w:color w:val="000000" w:themeColor="text1"/>
          <w:sz w:val="18"/>
          <w:szCs w:val="18"/>
        </w:rPr>
        <w:t xml:space="preserve"> M, </w:t>
      </w:r>
      <w:proofErr w:type="spellStart"/>
      <w:r w:rsidRPr="00450DF1">
        <w:rPr>
          <w:rFonts w:ascii="Tw Cen MT" w:eastAsia="Tw Cen MT" w:hAnsi="Tw Cen MT" w:cs="Times New Roman"/>
          <w:color w:val="000000" w:themeColor="text1"/>
          <w:sz w:val="18"/>
          <w:szCs w:val="18"/>
        </w:rPr>
        <w:t>Sawant</w:t>
      </w:r>
      <w:proofErr w:type="spellEnd"/>
      <w:r w:rsidRPr="00450DF1">
        <w:rPr>
          <w:rFonts w:ascii="Tw Cen MT" w:eastAsia="Tw Cen MT" w:hAnsi="Tw Cen MT" w:cs="Times New Roman"/>
          <w:color w:val="000000" w:themeColor="text1"/>
          <w:sz w:val="18"/>
          <w:szCs w:val="18"/>
        </w:rPr>
        <w:t xml:space="preserve"> P, Mehta P, </w:t>
      </w:r>
      <w:proofErr w:type="spellStart"/>
      <w:r w:rsidRPr="00450DF1">
        <w:rPr>
          <w:rFonts w:ascii="Tw Cen MT" w:eastAsia="Tw Cen MT" w:hAnsi="Tw Cen MT" w:cs="Times New Roman"/>
          <w:color w:val="000000" w:themeColor="text1"/>
          <w:sz w:val="18"/>
          <w:szCs w:val="18"/>
        </w:rPr>
        <w:t>Nadkarni</w:t>
      </w:r>
      <w:proofErr w:type="spellEnd"/>
      <w:r w:rsidRPr="00450DF1">
        <w:rPr>
          <w:rFonts w:ascii="Tw Cen MT" w:eastAsia="Tw Cen MT" w:hAnsi="Tw Cen MT" w:cs="Times New Roman"/>
          <w:color w:val="000000" w:themeColor="text1"/>
          <w:sz w:val="18"/>
          <w:szCs w:val="18"/>
        </w:rPr>
        <w:t xml:space="preserve"> A. Significance of genetic modifiers of </w:t>
      </w:r>
      <w:proofErr w:type="spellStart"/>
      <w:r w:rsidRPr="00450DF1">
        <w:rPr>
          <w:rFonts w:ascii="Tw Cen MT" w:eastAsia="Tw Cen MT" w:hAnsi="Tw Cen MT" w:cs="Times New Roman"/>
          <w:color w:val="000000" w:themeColor="text1"/>
          <w:sz w:val="18"/>
          <w:szCs w:val="18"/>
        </w:rPr>
        <w:t>hemoglobinopathies</w:t>
      </w:r>
      <w:proofErr w:type="spellEnd"/>
      <w:r w:rsidRPr="00450DF1">
        <w:rPr>
          <w:rFonts w:ascii="Tw Cen MT" w:eastAsia="Tw Cen MT" w:hAnsi="Tw Cen MT" w:cs="Times New Roman"/>
          <w:color w:val="000000" w:themeColor="text1"/>
          <w:sz w:val="18"/>
          <w:szCs w:val="18"/>
        </w:rPr>
        <w:t xml:space="preserve"> leading towards precision medicine. Scientific reports. 2021 Oct 22</w:t>
      </w:r>
      <w:proofErr w:type="gramStart"/>
      <w:r w:rsidRPr="00450DF1">
        <w:rPr>
          <w:rFonts w:ascii="Tw Cen MT" w:eastAsia="Tw Cen MT" w:hAnsi="Tw Cen MT" w:cs="Times New Roman"/>
          <w:color w:val="000000" w:themeColor="text1"/>
          <w:sz w:val="18"/>
          <w:szCs w:val="18"/>
        </w:rPr>
        <w:t>;11</w:t>
      </w:r>
      <w:proofErr w:type="gramEnd"/>
      <w:r w:rsidRPr="00450DF1">
        <w:rPr>
          <w:rFonts w:ascii="Tw Cen MT" w:eastAsia="Tw Cen MT" w:hAnsi="Tw Cen MT" w:cs="Times New Roman"/>
          <w:color w:val="000000" w:themeColor="text1"/>
          <w:sz w:val="18"/>
          <w:szCs w:val="18"/>
        </w:rPr>
        <w:t>(1):1-0.</w:t>
      </w:r>
    </w:p>
    <w:p w14:paraId="4ADDAD55" w14:textId="77777777" w:rsidR="00565AA5" w:rsidRPr="00450DF1" w:rsidRDefault="00565AA5" w:rsidP="00565AA5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rFonts w:ascii="Tw Cen MT" w:eastAsia="Tw Cen MT" w:hAnsi="Tw Cen MT" w:cs="Times New Roman"/>
          <w:color w:val="000000" w:themeColor="text1"/>
          <w:sz w:val="18"/>
          <w:szCs w:val="18"/>
        </w:rPr>
      </w:pPr>
      <w:proofErr w:type="spellStart"/>
      <w:r w:rsidRPr="00450DF1">
        <w:rPr>
          <w:rFonts w:ascii="Tw Cen MT" w:eastAsia="Tw Cen MT" w:hAnsi="Tw Cen MT" w:cs="Times New Roman"/>
          <w:color w:val="000000" w:themeColor="text1"/>
          <w:sz w:val="18"/>
          <w:szCs w:val="18"/>
        </w:rPr>
        <w:t>Hariharan</w:t>
      </w:r>
      <w:proofErr w:type="spellEnd"/>
      <w:r w:rsidRPr="00450DF1">
        <w:rPr>
          <w:rFonts w:ascii="Tw Cen MT" w:eastAsia="Tw Cen MT" w:hAnsi="Tw Cen MT" w:cs="Times New Roman"/>
          <w:color w:val="000000" w:themeColor="text1"/>
          <w:sz w:val="18"/>
          <w:szCs w:val="18"/>
        </w:rPr>
        <w:t xml:space="preserve"> P, </w:t>
      </w:r>
      <w:proofErr w:type="spellStart"/>
      <w:r w:rsidRPr="00450DF1">
        <w:rPr>
          <w:rFonts w:ascii="Tw Cen MT" w:eastAsia="Tw Cen MT" w:hAnsi="Tw Cen MT" w:cs="Times New Roman"/>
          <w:color w:val="000000" w:themeColor="text1"/>
          <w:sz w:val="18"/>
          <w:szCs w:val="18"/>
        </w:rPr>
        <w:t>Nadkarni</w:t>
      </w:r>
      <w:proofErr w:type="spellEnd"/>
      <w:r w:rsidRPr="00450DF1">
        <w:rPr>
          <w:rFonts w:ascii="Tw Cen MT" w:eastAsia="Tw Cen MT" w:hAnsi="Tw Cen MT" w:cs="Times New Roman"/>
          <w:color w:val="000000" w:themeColor="text1"/>
          <w:sz w:val="18"/>
          <w:szCs w:val="18"/>
        </w:rPr>
        <w:t xml:space="preserve"> A. Insight of fetal to adult hemoglobin switch: genetic modulators and therapeutic targets. Blood Reviews. 2021 Sep 1</w:t>
      </w:r>
      <w:proofErr w:type="gramStart"/>
      <w:r w:rsidRPr="00450DF1">
        <w:rPr>
          <w:rFonts w:ascii="Tw Cen MT" w:eastAsia="Tw Cen MT" w:hAnsi="Tw Cen MT" w:cs="Times New Roman"/>
          <w:color w:val="000000" w:themeColor="text1"/>
          <w:sz w:val="18"/>
          <w:szCs w:val="18"/>
        </w:rPr>
        <w:t>;49:100823</w:t>
      </w:r>
      <w:proofErr w:type="gramEnd"/>
      <w:r w:rsidRPr="00450DF1">
        <w:rPr>
          <w:rFonts w:ascii="Tw Cen MT" w:eastAsia="Tw Cen MT" w:hAnsi="Tw Cen MT" w:cs="Times New Roman"/>
          <w:color w:val="000000" w:themeColor="text1"/>
          <w:sz w:val="18"/>
          <w:szCs w:val="18"/>
        </w:rPr>
        <w:t>.</w:t>
      </w:r>
    </w:p>
    <w:p w14:paraId="3B35A904" w14:textId="77777777" w:rsidR="00AE3E37" w:rsidRPr="00450DF1" w:rsidRDefault="00AE3E37" w:rsidP="008756E6">
      <w:pPr>
        <w:tabs>
          <w:tab w:val="left" w:pos="384"/>
        </w:tabs>
        <w:ind w:right="117"/>
        <w:rPr>
          <w:rFonts w:cs="Times New Roman"/>
          <w:color w:val="000000" w:themeColor="text1"/>
          <w:sz w:val="18"/>
          <w:szCs w:val="18"/>
        </w:rPr>
      </w:pPr>
    </w:p>
    <w:p w14:paraId="14A1E256" w14:textId="77777777" w:rsidR="00AE3E37" w:rsidRPr="00450DF1" w:rsidRDefault="008756E6">
      <w:pPr>
        <w:spacing w:line="200" w:lineRule="exact"/>
        <w:jc w:val="both"/>
        <w:rPr>
          <w:rFonts w:cs="Times New Roman"/>
          <w:color w:val="000000" w:themeColor="text1"/>
          <w:sz w:val="18"/>
          <w:szCs w:val="18"/>
        </w:rPr>
        <w:sectPr w:rsidR="00AE3E37" w:rsidRPr="00450DF1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450DF1">
        <w:rPr>
          <w:rFonts w:cs="Times New Roman"/>
          <w:color w:val="000000" w:themeColor="text1"/>
          <w:sz w:val="18"/>
          <w:szCs w:val="18"/>
        </w:rPr>
        <w:t xml:space="preserve">   </w:t>
      </w:r>
    </w:p>
    <w:p w14:paraId="2174B597" w14:textId="2C0BF8AF" w:rsidR="00AE3E37" w:rsidRDefault="00450DF1">
      <w:pPr>
        <w:pStyle w:val="BodyText"/>
        <w:rPr>
          <w:rFonts w:ascii="Calibri"/>
          <w:sz w:val="20"/>
        </w:rPr>
      </w:pPr>
      <w:r>
        <w:rPr>
          <w:rFonts w:ascii="Calibri"/>
          <w:noProof/>
          <w:sz w:val="4"/>
        </w:rPr>
        <w:lastRenderedPageBreak/>
        <mc:AlternateContent>
          <mc:Choice Requires="wpg">
            <w:drawing>
              <wp:inline distT="0" distB="0" distL="0" distR="0" wp14:anchorId="625027F7" wp14:editId="381A1921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7A649F03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15672C1D" w14:textId="3EAAABC7" w:rsidR="00AE3E37" w:rsidRDefault="00AE3E37">
      <w:pPr>
        <w:pStyle w:val="BodyText"/>
        <w:spacing w:line="40" w:lineRule="exact"/>
        <w:ind w:left="2202"/>
        <w:rPr>
          <w:rFonts w:ascii="Calibri"/>
          <w:sz w:val="4"/>
        </w:rPr>
      </w:pPr>
    </w:p>
    <w:p w14:paraId="3214083D" w14:textId="0A82347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7940C0">
        <w:rPr>
          <w:noProof/>
        </w:rPr>
        <w:drawing>
          <wp:inline distT="0" distB="0" distL="0" distR="0" wp14:anchorId="39DF16AF" wp14:editId="20A1D830">
            <wp:extent cx="637247" cy="849662"/>
            <wp:effectExtent l="0" t="0" r="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1025" cy="881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A7E56" w14:textId="77777777" w:rsidR="007940C0" w:rsidRDefault="007940C0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14:paraId="3A06F5E7" w14:textId="124AE119" w:rsidR="007940C0" w:rsidRDefault="00F91B34" w:rsidP="007940C0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0" w:line="360" w:lineRule="auto"/>
        <w:contextualSpacing/>
        <w:rPr>
          <w:b/>
          <w:bCs/>
        </w:rPr>
      </w:pPr>
      <w:r>
        <w:rPr>
          <w:rFonts w:ascii="Arial" w:eastAsia="Tw Cen MT" w:hAnsi="Tw Cen MT" w:cs="Tw Cen MT"/>
          <w:sz w:val="14"/>
        </w:rPr>
        <w:t xml:space="preserve">Dr. Anita </w:t>
      </w:r>
      <w:proofErr w:type="spellStart"/>
      <w:r>
        <w:rPr>
          <w:rFonts w:ascii="Arial" w:eastAsia="Tw Cen MT" w:hAnsi="Tw Cen MT" w:cs="Tw Cen MT"/>
          <w:sz w:val="14"/>
        </w:rPr>
        <w:t>Nadkarni</w:t>
      </w:r>
      <w:proofErr w:type="spellEnd"/>
      <w:r>
        <w:rPr>
          <w:rFonts w:ascii="Arial" w:eastAsia="Tw Cen MT" w:hAnsi="Tw Cen MT" w:cs="Tw Cen MT"/>
          <w:sz w:val="14"/>
        </w:rPr>
        <w:t xml:space="preserve"> m</w:t>
      </w:r>
      <w:r w:rsidR="007940C0" w:rsidRPr="007940C0">
        <w:rPr>
          <w:rFonts w:ascii="Arial" w:eastAsia="Tw Cen MT" w:hAnsi="Tw Cen MT" w:cs="Tw Cen MT"/>
          <w:sz w:val="14"/>
        </w:rPr>
        <w:t xml:space="preserve">ade outstanding contribution to the field of molecular genetics of thalassemia and other </w:t>
      </w:r>
      <w:proofErr w:type="spellStart"/>
      <w:r w:rsidR="007940C0" w:rsidRPr="007940C0">
        <w:rPr>
          <w:rFonts w:ascii="Arial" w:eastAsia="Tw Cen MT" w:hAnsi="Tw Cen MT" w:cs="Tw Cen MT"/>
          <w:sz w:val="14"/>
        </w:rPr>
        <w:t>hemoglobinopathies</w:t>
      </w:r>
      <w:proofErr w:type="spellEnd"/>
      <w:r w:rsidR="007940C0" w:rsidRPr="007940C0">
        <w:rPr>
          <w:rFonts w:ascii="Arial" w:eastAsia="Tw Cen MT" w:hAnsi="Tw Cen MT" w:cs="Tw Cen MT"/>
          <w:sz w:val="14"/>
        </w:rPr>
        <w:t xml:space="preserve">. Carried out extensive research on, epidemiology, diagnosis, pathophysiology of thalassemia and sickle cell anemia. </w:t>
      </w:r>
      <w:r w:rsidR="007940C0" w:rsidRPr="007940C0">
        <w:rPr>
          <w:rFonts w:ascii="Arial"/>
          <w:sz w:val="14"/>
        </w:rPr>
        <w:t xml:space="preserve">Overall, contributed immensely for the welfare of patients with thalassemia and other hemoglobin disorders in Indian society for last </w:t>
      </w:r>
      <w:r w:rsidR="007940C0">
        <w:rPr>
          <w:rFonts w:ascii="Arial"/>
          <w:sz w:val="14"/>
        </w:rPr>
        <w:t>35</w:t>
      </w:r>
      <w:r w:rsidR="007940C0" w:rsidRPr="007940C0">
        <w:rPr>
          <w:rFonts w:ascii="Arial"/>
          <w:sz w:val="14"/>
        </w:rPr>
        <w:t xml:space="preserve"> yrs. </w:t>
      </w:r>
      <w:r>
        <w:rPr>
          <w:rFonts w:ascii="Arial"/>
          <w:sz w:val="14"/>
        </w:rPr>
        <w:t>Established a 1</w:t>
      </w:r>
      <w:r w:rsidRPr="00F91B34">
        <w:rPr>
          <w:rFonts w:ascii="Arial"/>
          <w:sz w:val="14"/>
          <w:vertAlign w:val="superscript"/>
        </w:rPr>
        <w:t>st</w:t>
      </w:r>
      <w:r>
        <w:rPr>
          <w:rFonts w:ascii="Arial"/>
          <w:sz w:val="14"/>
        </w:rPr>
        <w:t xml:space="preserve"> newborn screening program in India for Sickle cell anemia. </w:t>
      </w:r>
      <w:r w:rsidR="007940C0" w:rsidRPr="007940C0">
        <w:rPr>
          <w:rFonts w:ascii="Arial" w:eastAsia="Tw Cen MT" w:hAnsi="Tw Cen MT" w:cs="Tw Cen MT"/>
          <w:sz w:val="14"/>
        </w:rPr>
        <w:t>Has published more than 180 research papers in national / international scientific</w:t>
      </w:r>
      <w:r w:rsidR="007940C0" w:rsidRPr="009D7E2A">
        <w:rPr>
          <w:bCs/>
        </w:rPr>
        <w:t xml:space="preserve"> </w:t>
      </w:r>
      <w:r w:rsidR="007940C0" w:rsidRPr="00F91B34">
        <w:rPr>
          <w:rFonts w:ascii="Arial" w:eastAsia="Tw Cen MT" w:hAnsi="Tw Cen MT" w:cs="Tw Cen MT"/>
          <w:sz w:val="14"/>
        </w:rPr>
        <w:t>journals.</w:t>
      </w:r>
      <w:r w:rsidR="007940C0" w:rsidRPr="009D7E2A">
        <w:rPr>
          <w:b/>
          <w:bCs/>
        </w:rPr>
        <w:t xml:space="preserve"> </w:t>
      </w:r>
    </w:p>
    <w:p w14:paraId="45894BE7" w14:textId="1346ECB3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>Email:</w:t>
      </w:r>
      <w:r w:rsidR="00F91B34" w:rsidRPr="00F91B34">
        <w:rPr>
          <w:rFonts w:ascii="Arial"/>
          <w:sz w:val="14"/>
        </w:rPr>
        <w:t xml:space="preserve">anitahnadkarni@yahoo.com </w:t>
      </w:r>
    </w:p>
    <w:p w14:paraId="3F31AC44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230EEB8C" wp14:editId="0E6F1D4C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>
            <w:pict>
              <v:line w14:anchorId="5E09F31D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" strokecolor="#004080" strokeweight=".5pt">
                <w10:wrap type="topAndBottom" anchorx="page"/>
              </v:line>
            </w:pict>
          </mc:Fallback>
        </mc:AlternateContent>
      </w:r>
    </w:p>
    <w:p w14:paraId="6FAA9440" w14:textId="77777777" w:rsidR="00AE3E37" w:rsidRDefault="00AE3E37">
      <w:pPr>
        <w:pStyle w:val="BodyText"/>
        <w:rPr>
          <w:rFonts w:ascii="Arial"/>
          <w:sz w:val="20"/>
        </w:rPr>
      </w:pPr>
    </w:p>
    <w:p w14:paraId="7E065C7F" w14:textId="77777777" w:rsidR="00AE3E37" w:rsidRDefault="00AE3E37">
      <w:pPr>
        <w:pStyle w:val="BodyText"/>
        <w:rPr>
          <w:rFonts w:ascii="Arial"/>
          <w:sz w:val="20"/>
        </w:rPr>
      </w:pPr>
    </w:p>
    <w:p w14:paraId="55178113" w14:textId="72C90712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25212012" w14:textId="77777777" w:rsidR="00565AA5" w:rsidRDefault="00565AA5">
      <w:pPr>
        <w:pStyle w:val="BodyText"/>
        <w:spacing w:before="7"/>
        <w:rPr>
          <w:rFonts w:ascii="Arial"/>
          <w:sz w:val="29"/>
        </w:rPr>
      </w:pPr>
    </w:p>
    <w:p w14:paraId="01BFA95F" w14:textId="77777777" w:rsidR="00AE3E37" w:rsidRDefault="00A9710C" w:rsidP="000534A1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692F25A9" w14:textId="77777777"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14:paraId="25A04B4F" w14:textId="4AC1927B" w:rsidR="00EA7D51" w:rsidRPr="00F35A62" w:rsidRDefault="00EA7D51" w:rsidP="00EA7D51">
      <w:pPr>
        <w:autoSpaceDE w:val="0"/>
        <w:autoSpaceDN w:val="0"/>
        <w:adjustRightInd w:val="0"/>
        <w:rPr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r w:rsidR="00565AA5">
        <w:rPr>
          <w:sz w:val="20"/>
          <w:szCs w:val="20"/>
          <w:lang w:val="en-NZ"/>
        </w:rPr>
        <w:t xml:space="preserve">Dr Anita </w:t>
      </w:r>
      <w:proofErr w:type="spellStart"/>
      <w:r w:rsidR="00565AA5">
        <w:rPr>
          <w:sz w:val="20"/>
          <w:szCs w:val="20"/>
          <w:lang w:val="en-NZ"/>
        </w:rPr>
        <w:t>Nadkarni</w:t>
      </w:r>
      <w:proofErr w:type="spellEnd"/>
      <w:r w:rsidRPr="00F35A62">
        <w:rPr>
          <w:sz w:val="20"/>
          <w:szCs w:val="20"/>
          <w:lang w:val="en-NZ"/>
        </w:rPr>
        <w:br/>
        <w:t>Contact number:</w:t>
      </w:r>
      <w:r w:rsidR="00F47478">
        <w:rPr>
          <w:sz w:val="20"/>
          <w:szCs w:val="20"/>
          <w:lang w:val="en-NZ"/>
        </w:rPr>
        <w:t xml:space="preserve"> </w:t>
      </w:r>
      <w:r w:rsidR="00F91B34">
        <w:rPr>
          <w:sz w:val="20"/>
          <w:szCs w:val="20"/>
          <w:lang w:val="en-NZ"/>
        </w:rPr>
        <w:t>+</w:t>
      </w:r>
      <w:r w:rsidR="00F47478">
        <w:rPr>
          <w:sz w:val="20"/>
          <w:szCs w:val="20"/>
          <w:lang w:val="en-NZ"/>
        </w:rPr>
        <w:t xml:space="preserve"> </w:t>
      </w:r>
      <w:r w:rsidR="00F91B34">
        <w:rPr>
          <w:sz w:val="20"/>
          <w:szCs w:val="20"/>
          <w:lang w:val="en-NZ"/>
        </w:rPr>
        <w:t>91 9820175217</w:t>
      </w:r>
      <w:r w:rsidRPr="00F35A62">
        <w:rPr>
          <w:sz w:val="20"/>
          <w:szCs w:val="20"/>
          <w:lang w:val="en-NZ"/>
        </w:rPr>
        <w:br/>
        <w:t xml:space="preserve">Session name/ number: </w:t>
      </w:r>
      <w:proofErr w:type="gramStart"/>
      <w:r w:rsidR="00F91B34">
        <w:rPr>
          <w:sz w:val="20"/>
          <w:szCs w:val="20"/>
          <w:lang w:val="en-NZ"/>
        </w:rPr>
        <w:t>Thalassemia ,</w:t>
      </w:r>
      <w:proofErr w:type="gramEnd"/>
      <w:r w:rsidR="00F91B34">
        <w:rPr>
          <w:sz w:val="20"/>
          <w:szCs w:val="20"/>
          <w:lang w:val="en-NZ"/>
        </w:rPr>
        <w:t xml:space="preserve"> No 4</w:t>
      </w:r>
      <w:r w:rsidRPr="00F35A62">
        <w:rPr>
          <w:sz w:val="20"/>
          <w:szCs w:val="20"/>
          <w:lang w:val="en-NZ"/>
        </w:rPr>
        <w:br/>
        <w:t>Category: Oral presentation</w:t>
      </w:r>
      <w:r w:rsidRPr="00F35A62">
        <w:rPr>
          <w:sz w:val="20"/>
          <w:szCs w:val="20"/>
          <w:lang w:val="en-NZ"/>
        </w:rPr>
        <w:br/>
      </w:r>
    </w:p>
    <w:p w14:paraId="1175EE58" w14:textId="77777777" w:rsidR="00EA7D51" w:rsidRPr="000534A1" w:rsidRDefault="00EA7D51" w:rsidP="000534A1">
      <w:pPr>
        <w:spacing w:before="39"/>
        <w:ind w:left="100"/>
        <w:rPr>
          <w:rFonts w:ascii="Minion Pro"/>
          <w:b/>
          <w:sz w:val="20"/>
        </w:rPr>
        <w:sectPr w:rsidR="00EA7D51" w:rsidRPr="000534A1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</w:p>
    <w:p w14:paraId="744554DF" w14:textId="77777777" w:rsidR="00AE3E37" w:rsidRDefault="00AE3E37" w:rsidP="00475D20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755FF0" w14:textId="77777777" w:rsidR="00EC795E" w:rsidRDefault="00EC795E">
      <w:r>
        <w:separator/>
      </w:r>
    </w:p>
  </w:endnote>
  <w:endnote w:type="continuationSeparator" w:id="0">
    <w:p w14:paraId="150057DF" w14:textId="77777777" w:rsidR="00EC795E" w:rsidRDefault="00EC7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B1BC19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D9FF98A" wp14:editId="1D34DC28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6FC992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1794DA08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1D9FF98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14:paraId="6C6FC992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1794DA08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FEEA6C7" wp14:editId="5180D544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25AD61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337919C3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w14:anchorId="0FEEA6C7"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14:paraId="0F25AD61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337919C3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6827BA7" wp14:editId="66CE895C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520AA8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1C6F8B20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w14:anchorId="56827BA7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14:paraId="2E520AA8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1C6F8B20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85D132" w14:textId="77777777" w:rsidR="00EC795E" w:rsidRDefault="00EC795E">
      <w:r>
        <w:separator/>
      </w:r>
    </w:p>
  </w:footnote>
  <w:footnote w:type="continuationSeparator" w:id="0">
    <w:p w14:paraId="10995E1A" w14:textId="77777777" w:rsidR="00EC795E" w:rsidRDefault="00EC79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97AA7"/>
    <w:multiLevelType w:val="hybridMultilevel"/>
    <w:tmpl w:val="4B0806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FF1BF7"/>
    <w:multiLevelType w:val="hybridMultilevel"/>
    <w:tmpl w:val="13A04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3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534A1"/>
    <w:rsid w:val="0006797A"/>
    <w:rsid w:val="000B4CAA"/>
    <w:rsid w:val="000E2911"/>
    <w:rsid w:val="001263DF"/>
    <w:rsid w:val="00292ED9"/>
    <w:rsid w:val="00351D9B"/>
    <w:rsid w:val="003552A1"/>
    <w:rsid w:val="00380299"/>
    <w:rsid w:val="003D5358"/>
    <w:rsid w:val="00404E5B"/>
    <w:rsid w:val="00414F7B"/>
    <w:rsid w:val="004355DC"/>
    <w:rsid w:val="00450DF1"/>
    <w:rsid w:val="004749B4"/>
    <w:rsid w:val="00475D20"/>
    <w:rsid w:val="00494130"/>
    <w:rsid w:val="004A63D9"/>
    <w:rsid w:val="004F3523"/>
    <w:rsid w:val="00565AA5"/>
    <w:rsid w:val="00590D60"/>
    <w:rsid w:val="005973B9"/>
    <w:rsid w:val="005B3A56"/>
    <w:rsid w:val="006060CE"/>
    <w:rsid w:val="0061505C"/>
    <w:rsid w:val="0063497F"/>
    <w:rsid w:val="00714354"/>
    <w:rsid w:val="007940C0"/>
    <w:rsid w:val="008166AF"/>
    <w:rsid w:val="00873DF0"/>
    <w:rsid w:val="008756E6"/>
    <w:rsid w:val="00897EC5"/>
    <w:rsid w:val="008A0763"/>
    <w:rsid w:val="008E5477"/>
    <w:rsid w:val="00984A70"/>
    <w:rsid w:val="009B2D44"/>
    <w:rsid w:val="00A07E82"/>
    <w:rsid w:val="00A52075"/>
    <w:rsid w:val="00A9710C"/>
    <w:rsid w:val="00AA1A61"/>
    <w:rsid w:val="00AE3E37"/>
    <w:rsid w:val="00B21A57"/>
    <w:rsid w:val="00BE153F"/>
    <w:rsid w:val="00BE6743"/>
    <w:rsid w:val="00C33602"/>
    <w:rsid w:val="00C56C74"/>
    <w:rsid w:val="00CD6F55"/>
    <w:rsid w:val="00DE3104"/>
    <w:rsid w:val="00DE6170"/>
    <w:rsid w:val="00E30AAC"/>
    <w:rsid w:val="00E4244A"/>
    <w:rsid w:val="00E95D97"/>
    <w:rsid w:val="00EA7D51"/>
    <w:rsid w:val="00EC795E"/>
    <w:rsid w:val="00F046EA"/>
    <w:rsid w:val="00F312EA"/>
    <w:rsid w:val="00F35A62"/>
    <w:rsid w:val="00F47478"/>
    <w:rsid w:val="00F72EEA"/>
    <w:rsid w:val="00F84CAE"/>
    <w:rsid w:val="00F91B34"/>
    <w:rsid w:val="00FA2A2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60E8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Ravali Mudigiri</cp:lastModifiedBy>
  <cp:revision>2</cp:revision>
  <dcterms:created xsi:type="dcterms:W3CDTF">2023-01-20T09:01:00Z</dcterms:created>
  <dcterms:modified xsi:type="dcterms:W3CDTF">2023-01-20T09:01:00Z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