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11ADD7" w14:textId="559E5C5A" w:rsidR="00AE3E37" w:rsidRPr="00F41097" w:rsidRDefault="002B3C83" w:rsidP="00471650">
      <w:pPr>
        <w:pStyle w:val="Heading1"/>
        <w:spacing w:before="0"/>
        <w:ind w:left="0"/>
        <w:jc w:val="both"/>
        <w:rPr>
          <w:rFonts w:asciiTheme="minorHAnsi" w:hAnsiTheme="minorHAnsi" w:cstheme="minorHAnsi"/>
        </w:rPr>
      </w:pPr>
      <w:bookmarkStart w:id="0" w:name="_Hlk124771186"/>
      <w:bookmarkEnd w:id="0"/>
      <w:r w:rsidRPr="00F41097">
        <w:rPr>
          <w:rFonts w:asciiTheme="minorHAnsi" w:hAnsiTheme="minorHAnsi" w:cstheme="minorHAnsi"/>
          <w:color w:val="4F81BD" w:themeColor="accent1"/>
        </w:rPr>
        <w:t>Regulatory Strategy as key differentiator to accelerate the access of biosimilars to the markets: Current framework, challenges, and risks.</w:t>
      </w:r>
    </w:p>
    <w:p w14:paraId="5346DCB5" w14:textId="1D441E4D" w:rsidR="005973B9" w:rsidRPr="009C217C" w:rsidRDefault="002B3C83" w:rsidP="00471650">
      <w:pPr>
        <w:pStyle w:val="BodyText"/>
        <w:spacing w:line="198" w:lineRule="exact"/>
        <w:ind w:right="5987"/>
        <w:jc w:val="both"/>
        <w:rPr>
          <w:rFonts w:asciiTheme="minorHAnsi" w:hAnsiTheme="minorHAnsi" w:cstheme="minorHAnsi"/>
          <w:b/>
          <w:bCs/>
          <w:color w:val="C0504D" w:themeColor="accent2"/>
        </w:rPr>
      </w:pPr>
      <w:r w:rsidRPr="009C217C">
        <w:rPr>
          <w:rFonts w:asciiTheme="minorHAnsi" w:hAnsiTheme="minorHAnsi" w:cstheme="minorHAnsi"/>
          <w:b/>
          <w:bCs/>
          <w:color w:val="C0504D" w:themeColor="accent2"/>
        </w:rPr>
        <w:t>PPD a Thermo Fisher company, US</w:t>
      </w:r>
    </w:p>
    <w:p w14:paraId="608DF028" w14:textId="77777777" w:rsidR="00AE3E37" w:rsidRDefault="00AE3E37" w:rsidP="00471650">
      <w:pPr>
        <w:pStyle w:val="BodyText"/>
        <w:jc w:val="both"/>
        <w:rPr>
          <w:rFonts w:ascii="Arial"/>
          <w:sz w:val="20"/>
        </w:rPr>
      </w:pPr>
    </w:p>
    <w:p w14:paraId="404317A8" w14:textId="77777777" w:rsidR="00AE3E37" w:rsidRDefault="00AE3E37" w:rsidP="00471650">
      <w:pPr>
        <w:jc w:val="both"/>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519F4ACC" w14:textId="77777777" w:rsidR="002657DD" w:rsidRPr="002657DD" w:rsidRDefault="002657DD" w:rsidP="00471650">
      <w:pPr>
        <w:jc w:val="both"/>
        <w:rPr>
          <w:rFonts w:asciiTheme="minorHAnsi" w:eastAsia="Times New Roman" w:hAnsiTheme="minorHAnsi" w:cstheme="minorHAnsi"/>
          <w:sz w:val="18"/>
          <w:szCs w:val="18"/>
          <w:lang w:val="en-GB" w:eastAsia="en-GB"/>
        </w:rPr>
      </w:pPr>
      <w:r w:rsidRPr="002657DD">
        <w:rPr>
          <w:rFonts w:asciiTheme="minorHAnsi" w:eastAsia="Times New Roman" w:hAnsiTheme="minorHAnsi" w:cstheme="minorHAnsi"/>
          <w:sz w:val="18"/>
          <w:szCs w:val="18"/>
          <w:lang w:val="en-GB" w:eastAsia="en-GB"/>
        </w:rPr>
        <w:t>Advances in the understanding of the complex human biology has fostered the development of biological medications, whose sales are expected to surpass those of “conventional” therapies by 2026.</w:t>
      </w:r>
    </w:p>
    <w:p w14:paraId="6705494D" w14:textId="77777777" w:rsidR="002657DD" w:rsidRPr="002657DD" w:rsidRDefault="002657DD" w:rsidP="00471650">
      <w:pPr>
        <w:jc w:val="both"/>
        <w:rPr>
          <w:rFonts w:asciiTheme="minorHAnsi" w:eastAsia="Times New Roman" w:hAnsiTheme="minorHAnsi" w:cstheme="minorHAnsi"/>
          <w:sz w:val="18"/>
          <w:szCs w:val="18"/>
          <w:lang w:val="en-GB" w:eastAsia="en-GB"/>
        </w:rPr>
      </w:pPr>
      <w:r w:rsidRPr="002657DD">
        <w:rPr>
          <w:rFonts w:asciiTheme="minorHAnsi" w:eastAsia="Times New Roman" w:hAnsiTheme="minorHAnsi" w:cstheme="minorHAnsi"/>
          <w:sz w:val="18"/>
          <w:szCs w:val="18"/>
          <w:lang w:val="en-GB" w:eastAsia="en-GB"/>
        </w:rPr>
        <w:t>The expiration of patents in next 3 to 5 years of several blockbuster biological medications will also generated a “second” and “third” wave of biosimilars clinical development.</w:t>
      </w:r>
    </w:p>
    <w:p w14:paraId="50D9FCF7" w14:textId="32840C7F" w:rsidR="002657DD" w:rsidRPr="002657DD" w:rsidRDefault="002657DD" w:rsidP="00471650">
      <w:pPr>
        <w:jc w:val="both"/>
        <w:rPr>
          <w:rFonts w:asciiTheme="minorHAnsi" w:eastAsia="Times New Roman" w:hAnsiTheme="minorHAnsi" w:cstheme="minorHAnsi"/>
          <w:sz w:val="18"/>
          <w:szCs w:val="18"/>
          <w:lang w:val="en-GB" w:eastAsia="en-GB"/>
        </w:rPr>
      </w:pPr>
      <w:r w:rsidRPr="002657DD">
        <w:rPr>
          <w:rFonts w:asciiTheme="minorHAnsi" w:eastAsia="Times New Roman" w:hAnsiTheme="minorHAnsi" w:cstheme="minorHAnsi"/>
          <w:sz w:val="18"/>
          <w:szCs w:val="18"/>
          <w:lang w:val="en-GB" w:eastAsia="en-GB"/>
        </w:rPr>
        <w:t xml:space="preserve">The experience gathered during these years in the molecular characterization of complex biological drugs and their pharmacokinetic and pharmacodynamic </w:t>
      </w:r>
      <w:r w:rsidR="00EF68E9" w:rsidRPr="002657DD">
        <w:rPr>
          <w:rFonts w:asciiTheme="minorHAnsi" w:eastAsia="Times New Roman" w:hAnsiTheme="minorHAnsi" w:cstheme="minorHAnsi"/>
          <w:sz w:val="18"/>
          <w:szCs w:val="18"/>
          <w:lang w:val="en-GB" w:eastAsia="en-GB"/>
        </w:rPr>
        <w:t>behaviours</w:t>
      </w:r>
      <w:r w:rsidRPr="002657DD">
        <w:rPr>
          <w:rFonts w:asciiTheme="minorHAnsi" w:eastAsia="Times New Roman" w:hAnsiTheme="minorHAnsi" w:cstheme="minorHAnsi"/>
          <w:sz w:val="18"/>
          <w:szCs w:val="18"/>
          <w:lang w:val="en-GB" w:eastAsia="en-GB"/>
        </w:rPr>
        <w:t xml:space="preserve"> is prompting manufacturers and regulatory authorities to consider whether the current pathway to approval should evolve towards a more simplified frame without sacrificing the quality and clinical evidence needed to ensure safe and efficacious drugs are approved on the market.</w:t>
      </w:r>
    </w:p>
    <w:p w14:paraId="55CA8272" w14:textId="77777777" w:rsidR="002657DD" w:rsidRPr="002657DD" w:rsidRDefault="002657DD" w:rsidP="00471650">
      <w:pPr>
        <w:jc w:val="both"/>
        <w:rPr>
          <w:rFonts w:asciiTheme="minorHAnsi" w:eastAsia="Times New Roman" w:hAnsiTheme="minorHAnsi" w:cstheme="minorHAnsi"/>
          <w:sz w:val="18"/>
          <w:szCs w:val="18"/>
          <w:lang w:val="en-GB" w:eastAsia="en-GB"/>
        </w:rPr>
      </w:pPr>
      <w:r w:rsidRPr="002657DD">
        <w:rPr>
          <w:rFonts w:asciiTheme="minorHAnsi" w:eastAsia="Times New Roman" w:hAnsiTheme="minorHAnsi" w:cstheme="minorHAnsi"/>
          <w:sz w:val="18"/>
          <w:szCs w:val="18"/>
          <w:lang w:val="en-GB" w:eastAsia="en-GB"/>
        </w:rPr>
        <w:t>The British Regulatory Agency MHRA has issued a draft guidance in 2021, where different expectations are described about the need for clinical efficacy studies and similar considerations could be potentially anticipated by the EMA in the next future.</w:t>
      </w:r>
    </w:p>
    <w:p w14:paraId="54FB2CC6" w14:textId="77777777" w:rsidR="002657DD" w:rsidRPr="002657DD" w:rsidRDefault="002657DD" w:rsidP="00471650">
      <w:pPr>
        <w:jc w:val="both"/>
        <w:rPr>
          <w:rFonts w:asciiTheme="minorHAnsi" w:eastAsia="Times New Roman" w:hAnsiTheme="minorHAnsi" w:cstheme="minorHAnsi"/>
          <w:sz w:val="18"/>
          <w:szCs w:val="18"/>
          <w:lang w:val="en-GB" w:eastAsia="en-GB"/>
        </w:rPr>
      </w:pPr>
      <w:r w:rsidRPr="002657DD">
        <w:rPr>
          <w:rFonts w:asciiTheme="minorHAnsi" w:eastAsia="Times New Roman" w:hAnsiTheme="minorHAnsi" w:cstheme="minorHAnsi"/>
          <w:sz w:val="18"/>
          <w:szCs w:val="18"/>
          <w:lang w:val="en-GB" w:eastAsia="en-GB"/>
        </w:rPr>
        <w:t xml:space="preserve">While we share the enthusiasm and expectations about this “simplified” pathway and the opportunity to bring biosimilar medications faster to the market, we wonder whether this is going to be a “one-size-fits-all” approach, or if later entries. </w:t>
      </w:r>
      <w:proofErr w:type="gramStart"/>
      <w:r w:rsidRPr="002657DD">
        <w:rPr>
          <w:rFonts w:asciiTheme="minorHAnsi" w:eastAsia="Times New Roman" w:hAnsiTheme="minorHAnsi" w:cstheme="minorHAnsi"/>
          <w:sz w:val="18"/>
          <w:szCs w:val="18"/>
          <w:lang w:val="en-GB" w:eastAsia="en-GB"/>
        </w:rPr>
        <w:t>i.e.</w:t>
      </w:r>
      <w:proofErr w:type="gramEnd"/>
      <w:r w:rsidRPr="002657DD">
        <w:rPr>
          <w:rFonts w:asciiTheme="minorHAnsi" w:eastAsia="Times New Roman" w:hAnsiTheme="minorHAnsi" w:cstheme="minorHAnsi"/>
          <w:sz w:val="18"/>
          <w:szCs w:val="18"/>
          <w:lang w:val="en-GB" w:eastAsia="en-GB"/>
        </w:rPr>
        <w:t xml:space="preserve"> the third or fourth biosimilar for the same originator product, will be those benefitting more of this simplified pathway, leveraging the bulk of data gathered by their predecessors.</w:t>
      </w:r>
    </w:p>
    <w:p w14:paraId="42F18E35" w14:textId="7A47F10C" w:rsidR="002657DD" w:rsidRPr="002657DD" w:rsidRDefault="002657DD" w:rsidP="00471650">
      <w:pPr>
        <w:jc w:val="both"/>
        <w:rPr>
          <w:rFonts w:asciiTheme="minorHAnsi" w:eastAsia="Times New Roman" w:hAnsiTheme="minorHAnsi" w:cstheme="minorHAnsi"/>
          <w:sz w:val="18"/>
          <w:szCs w:val="18"/>
          <w:lang w:val="en-GB" w:eastAsia="en-GB"/>
        </w:rPr>
      </w:pPr>
      <w:r w:rsidRPr="002657DD">
        <w:rPr>
          <w:rFonts w:asciiTheme="minorHAnsi" w:eastAsia="Times New Roman" w:hAnsiTheme="minorHAnsi" w:cstheme="minorHAnsi"/>
          <w:sz w:val="18"/>
          <w:szCs w:val="18"/>
          <w:lang w:val="en-GB" w:eastAsia="en-GB"/>
        </w:rPr>
        <w:t xml:space="preserve">We are starting a new era where there </w:t>
      </w:r>
      <w:r w:rsidR="00F1145D">
        <w:rPr>
          <w:rFonts w:asciiTheme="minorHAnsi" w:eastAsia="Times New Roman" w:hAnsiTheme="minorHAnsi" w:cstheme="minorHAnsi"/>
          <w:sz w:val="18"/>
          <w:szCs w:val="18"/>
          <w:lang w:val="en-GB" w:eastAsia="en-GB"/>
        </w:rPr>
        <w:t>are</w:t>
      </w:r>
      <w:r w:rsidRPr="002657DD">
        <w:rPr>
          <w:rFonts w:asciiTheme="minorHAnsi" w:eastAsia="Times New Roman" w:hAnsiTheme="minorHAnsi" w:cstheme="minorHAnsi"/>
          <w:sz w:val="18"/>
          <w:szCs w:val="18"/>
          <w:lang w:val="en-GB" w:eastAsia="en-GB"/>
        </w:rPr>
        <w:t xml:space="preserve"> a lot of new challenges that we need to answer, like:</w:t>
      </w:r>
    </w:p>
    <w:p w14:paraId="47E95EC5" w14:textId="2AF6DD47" w:rsidR="002657DD" w:rsidRPr="00471650" w:rsidRDefault="002657DD" w:rsidP="00471650">
      <w:pPr>
        <w:pStyle w:val="ListParagraph"/>
        <w:numPr>
          <w:ilvl w:val="0"/>
          <w:numId w:val="13"/>
        </w:numPr>
        <w:rPr>
          <w:rFonts w:asciiTheme="minorHAnsi" w:eastAsia="Times New Roman" w:hAnsiTheme="minorHAnsi" w:cstheme="minorHAnsi"/>
          <w:sz w:val="18"/>
          <w:szCs w:val="18"/>
          <w:lang w:val="en-GB" w:eastAsia="en-GB"/>
        </w:rPr>
      </w:pPr>
      <w:r w:rsidRPr="00471650">
        <w:rPr>
          <w:rFonts w:asciiTheme="minorHAnsi" w:eastAsia="Times New Roman" w:hAnsiTheme="minorHAnsi" w:cstheme="minorHAnsi"/>
          <w:sz w:val="18"/>
          <w:szCs w:val="18"/>
          <w:lang w:val="en-GB" w:eastAsia="en-GB"/>
        </w:rPr>
        <w:t>The new technologies for chemical characterization and in-vitro will be enough to prove interchangeability.</w:t>
      </w:r>
    </w:p>
    <w:p w14:paraId="5EE58B66" w14:textId="4B23D816" w:rsidR="002657DD" w:rsidRPr="00471650" w:rsidRDefault="002657DD" w:rsidP="00471650">
      <w:pPr>
        <w:pStyle w:val="ListParagraph"/>
        <w:numPr>
          <w:ilvl w:val="0"/>
          <w:numId w:val="13"/>
        </w:numPr>
        <w:rPr>
          <w:rFonts w:asciiTheme="minorHAnsi" w:eastAsia="Times New Roman" w:hAnsiTheme="minorHAnsi" w:cstheme="minorHAnsi"/>
          <w:sz w:val="18"/>
          <w:szCs w:val="18"/>
          <w:lang w:val="en-GB" w:eastAsia="en-GB"/>
        </w:rPr>
      </w:pPr>
      <w:r w:rsidRPr="00471650">
        <w:rPr>
          <w:rFonts w:asciiTheme="minorHAnsi" w:eastAsia="Times New Roman" w:hAnsiTheme="minorHAnsi" w:cstheme="minorHAnsi"/>
          <w:sz w:val="18"/>
          <w:szCs w:val="18"/>
          <w:lang w:val="en-GB" w:eastAsia="en-GB"/>
        </w:rPr>
        <w:t xml:space="preserve">PK/PD data will be enough to support clinical efficacy for </w:t>
      </w:r>
      <w:r w:rsidR="00EF68E9" w:rsidRPr="00471650">
        <w:rPr>
          <w:rFonts w:asciiTheme="minorHAnsi" w:eastAsia="Times New Roman" w:hAnsiTheme="minorHAnsi" w:cstheme="minorHAnsi"/>
          <w:sz w:val="18"/>
          <w:szCs w:val="18"/>
          <w:lang w:val="en-GB" w:eastAsia="en-GB"/>
        </w:rPr>
        <w:t>biosimilars</w:t>
      </w:r>
      <w:r w:rsidRPr="00471650">
        <w:rPr>
          <w:rFonts w:asciiTheme="minorHAnsi" w:eastAsia="Times New Roman" w:hAnsiTheme="minorHAnsi" w:cstheme="minorHAnsi"/>
          <w:sz w:val="18"/>
          <w:szCs w:val="18"/>
          <w:lang w:val="en-GB" w:eastAsia="en-GB"/>
        </w:rPr>
        <w:t>.</w:t>
      </w:r>
    </w:p>
    <w:p w14:paraId="2721AE1C" w14:textId="4C23C979" w:rsidR="002657DD" w:rsidRPr="00471650" w:rsidRDefault="002657DD" w:rsidP="00471650">
      <w:pPr>
        <w:pStyle w:val="ListParagraph"/>
        <w:numPr>
          <w:ilvl w:val="0"/>
          <w:numId w:val="13"/>
        </w:numPr>
        <w:rPr>
          <w:rFonts w:asciiTheme="minorHAnsi" w:eastAsia="Times New Roman" w:hAnsiTheme="minorHAnsi" w:cstheme="minorHAnsi"/>
          <w:sz w:val="18"/>
          <w:szCs w:val="18"/>
          <w:lang w:val="en-GB" w:eastAsia="en-GB"/>
        </w:rPr>
      </w:pPr>
      <w:r w:rsidRPr="00471650">
        <w:rPr>
          <w:rFonts w:asciiTheme="minorHAnsi" w:eastAsia="Times New Roman" w:hAnsiTheme="minorHAnsi" w:cstheme="minorHAnsi"/>
          <w:sz w:val="18"/>
          <w:szCs w:val="18"/>
          <w:lang w:val="en-GB" w:eastAsia="en-GB"/>
        </w:rPr>
        <w:t>The interchangeability trials should be allowing the multi brand/multi country interchangeability.</w:t>
      </w:r>
    </w:p>
    <w:p w14:paraId="52212AC8" w14:textId="77A27364" w:rsidR="002657DD" w:rsidRPr="00471650" w:rsidRDefault="002657DD" w:rsidP="00471650">
      <w:pPr>
        <w:pStyle w:val="ListParagraph"/>
        <w:numPr>
          <w:ilvl w:val="0"/>
          <w:numId w:val="13"/>
        </w:numPr>
        <w:rPr>
          <w:rFonts w:asciiTheme="minorHAnsi" w:eastAsia="Times New Roman" w:hAnsiTheme="minorHAnsi" w:cstheme="minorHAnsi"/>
          <w:sz w:val="18"/>
          <w:szCs w:val="18"/>
          <w:lang w:val="en-GB" w:eastAsia="en-GB"/>
        </w:rPr>
      </w:pPr>
      <w:r w:rsidRPr="00471650">
        <w:rPr>
          <w:rFonts w:asciiTheme="minorHAnsi" w:eastAsia="Times New Roman" w:hAnsiTheme="minorHAnsi" w:cstheme="minorHAnsi"/>
          <w:sz w:val="18"/>
          <w:szCs w:val="18"/>
          <w:lang w:val="en-GB" w:eastAsia="en-GB"/>
        </w:rPr>
        <w:t xml:space="preserve">The market access limitations by country/ state represent for the </w:t>
      </w:r>
      <w:proofErr w:type="gramStart"/>
      <w:r w:rsidRPr="00471650">
        <w:rPr>
          <w:rFonts w:asciiTheme="minorHAnsi" w:eastAsia="Times New Roman" w:hAnsiTheme="minorHAnsi" w:cstheme="minorHAnsi"/>
          <w:sz w:val="18"/>
          <w:szCs w:val="18"/>
          <w:lang w:val="en-GB" w:eastAsia="en-GB"/>
        </w:rPr>
        <w:t>patients</w:t>
      </w:r>
      <w:proofErr w:type="gramEnd"/>
      <w:r w:rsidRPr="00471650">
        <w:rPr>
          <w:rFonts w:asciiTheme="minorHAnsi" w:eastAsia="Times New Roman" w:hAnsiTheme="minorHAnsi" w:cstheme="minorHAnsi"/>
          <w:sz w:val="18"/>
          <w:szCs w:val="18"/>
          <w:lang w:val="en-GB" w:eastAsia="en-GB"/>
        </w:rPr>
        <w:t xml:space="preserve"> treatment access challenge. </w:t>
      </w:r>
    </w:p>
    <w:p w14:paraId="5D7326DA" w14:textId="02834059" w:rsidR="002657DD" w:rsidRPr="00471650" w:rsidRDefault="002657DD" w:rsidP="00471650">
      <w:pPr>
        <w:pStyle w:val="ListParagraph"/>
        <w:numPr>
          <w:ilvl w:val="0"/>
          <w:numId w:val="13"/>
        </w:numPr>
        <w:rPr>
          <w:rFonts w:asciiTheme="minorHAnsi" w:eastAsia="Times New Roman" w:hAnsiTheme="minorHAnsi" w:cstheme="minorHAnsi"/>
          <w:sz w:val="18"/>
          <w:szCs w:val="18"/>
          <w:lang w:val="en-GB" w:eastAsia="en-GB"/>
        </w:rPr>
      </w:pPr>
      <w:r w:rsidRPr="00471650">
        <w:rPr>
          <w:rFonts w:asciiTheme="minorHAnsi" w:eastAsia="Times New Roman" w:hAnsiTheme="minorHAnsi" w:cstheme="minorHAnsi"/>
          <w:sz w:val="18"/>
          <w:szCs w:val="18"/>
          <w:lang w:val="en-GB" w:eastAsia="en-GB"/>
        </w:rPr>
        <w:t>The cost limitations for the developers will represent a challenge to select the best approach to prove interchangeability and extrapolation of indications.</w:t>
      </w:r>
    </w:p>
    <w:p w14:paraId="25A65E20" w14:textId="77489064" w:rsidR="002657DD" w:rsidRPr="002657DD" w:rsidRDefault="002657DD" w:rsidP="00471650">
      <w:pPr>
        <w:jc w:val="both"/>
        <w:rPr>
          <w:rFonts w:asciiTheme="minorHAnsi" w:eastAsia="Times New Roman" w:hAnsiTheme="minorHAnsi" w:cstheme="minorHAnsi"/>
          <w:sz w:val="18"/>
          <w:szCs w:val="18"/>
          <w:lang w:val="en-GB" w:eastAsia="en-GB"/>
        </w:rPr>
      </w:pPr>
    </w:p>
    <w:p w14:paraId="40D9A1E9" w14:textId="1CC2C0D3" w:rsidR="009C217C" w:rsidRDefault="002657DD" w:rsidP="00471650">
      <w:pPr>
        <w:pStyle w:val="BodyText"/>
        <w:jc w:val="both"/>
        <w:rPr>
          <w:rFonts w:asciiTheme="minorHAnsi" w:hAnsiTheme="minorHAnsi" w:cstheme="minorHAnsi"/>
        </w:rPr>
      </w:pPr>
      <w:r w:rsidRPr="002657DD">
        <w:rPr>
          <w:rFonts w:asciiTheme="minorHAnsi" w:hAnsiTheme="minorHAnsi" w:cstheme="minorHAnsi"/>
        </w:rPr>
        <w:t>The current framework globally is not aligned or consider the new challenges that we have defined before, and the agencies need to be constantly evolving to match with the new evidence obtained and the industry should be working together with the regulators to accelerate this evolution, for this reason the RA strategy of Clinical Development will represent one of the key drivers to define the success of product introduction to the market.</w:t>
      </w:r>
    </w:p>
    <w:p w14:paraId="766C2622" w14:textId="161B11C8" w:rsidR="00214643" w:rsidRDefault="00214643" w:rsidP="00471650">
      <w:pPr>
        <w:pStyle w:val="BodyText"/>
        <w:jc w:val="both"/>
        <w:rPr>
          <w:rFonts w:asciiTheme="minorHAnsi" w:hAnsiTheme="minorHAnsi" w:cstheme="minorHAnsi"/>
        </w:rPr>
      </w:pPr>
    </w:p>
    <w:p w14:paraId="5917EEC9" w14:textId="1B83FA01" w:rsidR="00214643" w:rsidRPr="00214643" w:rsidRDefault="00214643" w:rsidP="00214643">
      <w:pPr>
        <w:pStyle w:val="FootnoteText"/>
        <w:rPr>
          <w:rFonts w:cstheme="minorHAnsi"/>
          <w:sz w:val="14"/>
          <w:szCs w:val="14"/>
        </w:rPr>
      </w:pPr>
      <w:r w:rsidRPr="00214643">
        <w:rPr>
          <w:rFonts w:cstheme="minorHAnsi"/>
          <w:sz w:val="14"/>
          <w:szCs w:val="14"/>
        </w:rPr>
        <w:t>Scientific Considerations in Demonstrating Biosimilarity to a Reference Product – draft February 2012, final published guideline April 2015 (FDA-2011-D-0605)</w:t>
      </w:r>
    </w:p>
    <w:p w14:paraId="06306BCA" w14:textId="311AC89D" w:rsidR="00214643" w:rsidRPr="00214643" w:rsidRDefault="00214643" w:rsidP="00214643">
      <w:pPr>
        <w:pStyle w:val="FootnoteText"/>
        <w:rPr>
          <w:rFonts w:cstheme="minorHAnsi"/>
          <w:sz w:val="14"/>
          <w:szCs w:val="14"/>
        </w:rPr>
      </w:pPr>
      <w:r w:rsidRPr="00214643">
        <w:rPr>
          <w:rFonts w:cstheme="minorHAnsi"/>
          <w:sz w:val="14"/>
          <w:szCs w:val="14"/>
        </w:rPr>
        <w:t>Quality Considerations in Demonstrating Biosimilarity of a Therapeutic Protein Product to a Reference Product, draft February 2012, final published guideline April 2015 (FDA-2011-D-0602)</w:t>
      </w:r>
    </w:p>
    <w:p w14:paraId="0AA3E4E6" w14:textId="66AB09B2" w:rsidR="00214643" w:rsidRPr="00214643" w:rsidRDefault="00214643" w:rsidP="00214643">
      <w:pPr>
        <w:pStyle w:val="Default"/>
        <w:rPr>
          <w:rFonts w:asciiTheme="minorHAnsi" w:hAnsiTheme="minorHAnsi" w:cstheme="minorHAnsi"/>
          <w:color w:val="auto"/>
          <w:sz w:val="14"/>
          <w:szCs w:val="14"/>
        </w:rPr>
      </w:pPr>
      <w:r w:rsidRPr="00214643">
        <w:rPr>
          <w:rFonts w:asciiTheme="minorHAnsi" w:hAnsiTheme="minorHAnsi" w:cstheme="minorHAnsi"/>
          <w:color w:val="auto"/>
          <w:sz w:val="14"/>
          <w:szCs w:val="14"/>
        </w:rPr>
        <w:t>Questions and Answers on Biosimilar Development and the BPCI Act December 2018 revision 1. (FDA-2011-D-0611)</w:t>
      </w:r>
    </w:p>
    <w:p w14:paraId="4C910E17" w14:textId="71E407CA" w:rsidR="00214643" w:rsidRPr="00214643" w:rsidRDefault="00214643" w:rsidP="00214643">
      <w:pPr>
        <w:pStyle w:val="FootnoteText"/>
        <w:rPr>
          <w:rFonts w:cstheme="minorHAnsi"/>
          <w:sz w:val="14"/>
          <w:szCs w:val="14"/>
        </w:rPr>
      </w:pPr>
      <w:r w:rsidRPr="00214643">
        <w:rPr>
          <w:rFonts w:cstheme="minorHAnsi"/>
          <w:sz w:val="14"/>
          <w:szCs w:val="14"/>
        </w:rPr>
        <w:t>GUIDELINE ON SIMILAR BIOLOGICAL MEDICINAL PRODUCTS – CHMP/437/04</w:t>
      </w:r>
    </w:p>
    <w:p w14:paraId="73D66D95" w14:textId="540BB503" w:rsidR="00214643" w:rsidRPr="00214643" w:rsidRDefault="00214643" w:rsidP="00214643">
      <w:pPr>
        <w:pStyle w:val="FootnoteText"/>
        <w:rPr>
          <w:rFonts w:cstheme="minorHAnsi"/>
          <w:sz w:val="14"/>
          <w:szCs w:val="14"/>
        </w:rPr>
      </w:pPr>
      <w:r w:rsidRPr="00214643">
        <w:rPr>
          <w:rFonts w:cstheme="minorHAnsi"/>
          <w:sz w:val="14"/>
          <w:szCs w:val="14"/>
        </w:rPr>
        <w:t>GUIDELINE ON SIMILAR BIOLOGICAL MEDICINAL PRODUCTS CHMP/437/04 Rev 1, 23 October 2014</w:t>
      </w:r>
    </w:p>
    <w:p w14:paraId="2785F515" w14:textId="77777777" w:rsidR="00214643" w:rsidRPr="00214643" w:rsidRDefault="00214643" w:rsidP="00471650">
      <w:pPr>
        <w:pStyle w:val="BodyText"/>
        <w:jc w:val="both"/>
        <w:rPr>
          <w:rFonts w:asciiTheme="minorHAnsi" w:hAnsiTheme="minorHAnsi" w:cstheme="minorHAnsi"/>
          <w:lang w:val="en-GB"/>
        </w:rPr>
      </w:pPr>
    </w:p>
    <w:p w14:paraId="0E816C0E" w14:textId="77777777" w:rsidR="00214643" w:rsidRDefault="00214643" w:rsidP="00471650">
      <w:pPr>
        <w:pStyle w:val="BodyText"/>
        <w:jc w:val="both"/>
        <w:rPr>
          <w:rFonts w:asciiTheme="minorHAnsi" w:hAnsiTheme="minorHAnsi" w:cstheme="minorHAnsi"/>
        </w:rPr>
      </w:pPr>
    </w:p>
    <w:p w14:paraId="43693ACD" w14:textId="35D83D05" w:rsidR="00B97B42" w:rsidRDefault="00263891" w:rsidP="00471650">
      <w:pPr>
        <w:pStyle w:val="BodyText"/>
        <w:jc w:val="both"/>
        <w:rPr>
          <w:rFonts w:asciiTheme="minorHAnsi" w:hAnsiTheme="minorHAnsi" w:cstheme="minorHAnsi"/>
        </w:rPr>
      </w:pPr>
      <w:r>
        <w:rPr>
          <w:rFonts w:asciiTheme="minorHAnsi" w:eastAsia="Times New Roman" w:hAnsiTheme="minorHAnsi" w:cstheme="minorHAnsi"/>
          <w:noProof/>
          <w:lang w:val="en-GB" w:eastAsia="en-GB"/>
        </w:rPr>
        <mc:AlternateContent>
          <mc:Choice Requires="wps">
            <w:drawing>
              <wp:anchor distT="0" distB="0" distL="114300" distR="114300" simplePos="0" relativeHeight="251658240" behindDoc="0" locked="0" layoutInCell="1" allowOverlap="1" wp14:anchorId="25D7F27D" wp14:editId="5F4A1CAC">
                <wp:simplePos x="0" y="0"/>
                <wp:positionH relativeFrom="column">
                  <wp:posOffset>-127000</wp:posOffset>
                </wp:positionH>
                <wp:positionV relativeFrom="paragraph">
                  <wp:posOffset>42545</wp:posOffset>
                </wp:positionV>
                <wp:extent cx="7077075" cy="0"/>
                <wp:effectExtent l="57150" t="38100" r="66675" b="95250"/>
                <wp:wrapNone/>
                <wp:docPr id="2" name="Straight Connector 2"/>
                <wp:cNvGraphicFramePr/>
                <a:graphic xmlns:a="http://schemas.openxmlformats.org/drawingml/2006/main">
                  <a:graphicData uri="http://schemas.microsoft.com/office/word/2010/wordprocessingShape">
                    <wps:wsp>
                      <wps:cNvCnPr/>
                      <wps:spPr>
                        <a:xfrm>
                          <a:off x="0" y="0"/>
                          <a:ext cx="7077075" cy="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395A1E64" id="Straight Connector 2"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0pt,3.35pt" to="547.2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" strokecolor="#4f81bd [3204]" strokeweight="3pt">
                <v:shadow on="t" color="black" opacity="22937f" origin=",.5" offset="0,.63889mm"/>
              </v:line>
            </w:pict>
          </mc:Fallback>
        </mc:AlternateContent>
      </w:r>
      <w:r w:rsidR="00812FA0">
        <w:rPr>
          <w:rFonts w:asciiTheme="minorHAnsi" w:hAnsiTheme="minorHAnsi" w:cstheme="minorHAnsi"/>
          <w:noProof/>
        </w:rPr>
        <w:drawing>
          <wp:anchor distT="0" distB="0" distL="114300" distR="114300" simplePos="0" relativeHeight="251657216" behindDoc="0" locked="0" layoutInCell="1" allowOverlap="1" wp14:anchorId="1A090EEB" wp14:editId="1FA6E1EC">
            <wp:simplePos x="0" y="0"/>
            <wp:positionH relativeFrom="column">
              <wp:posOffset>-79375</wp:posOffset>
            </wp:positionH>
            <wp:positionV relativeFrom="paragraph">
              <wp:posOffset>156845</wp:posOffset>
            </wp:positionV>
            <wp:extent cx="1766570" cy="1857375"/>
            <wp:effectExtent l="0" t="0" r="5080" b="9525"/>
            <wp:wrapThrough wrapText="bothSides">
              <wp:wrapPolygon edited="0">
                <wp:start x="0" y="0"/>
                <wp:lineTo x="0" y="21489"/>
                <wp:lineTo x="21429" y="21489"/>
                <wp:lineTo x="21429" y="0"/>
                <wp:lineTo x="0" y="0"/>
              </wp:wrapPolygon>
            </wp:wrapThrough>
            <wp:docPr id="1" name="Picture 1" descr="A picture containing person, person, wall, s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person, person, wall, sui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766570" cy="1857375"/>
                    </a:xfrm>
                    <a:prstGeom prst="rect">
                      <a:avLst/>
                    </a:prstGeom>
                  </pic:spPr>
                </pic:pic>
              </a:graphicData>
            </a:graphic>
            <wp14:sizeRelH relativeFrom="page">
              <wp14:pctWidth>0</wp14:pctWidth>
            </wp14:sizeRelH>
            <wp14:sizeRelV relativeFrom="page">
              <wp14:pctHeight>0</wp14:pctHeight>
            </wp14:sizeRelV>
          </wp:anchor>
        </w:drawing>
      </w:r>
    </w:p>
    <w:p w14:paraId="6A881F5D" w14:textId="7422740C" w:rsidR="005A0B0E" w:rsidRPr="005A0B0E" w:rsidRDefault="005A0B0E" w:rsidP="00812FA0">
      <w:pPr>
        <w:pStyle w:val="BodyText"/>
        <w:ind w:left="360"/>
        <w:jc w:val="both"/>
        <w:rPr>
          <w:rFonts w:asciiTheme="minorHAnsi" w:hAnsiTheme="minorHAnsi" w:cstheme="minorHAnsi"/>
        </w:rPr>
      </w:pPr>
      <w:r>
        <w:rPr>
          <w:rFonts w:asciiTheme="minorHAnsi" w:hAnsiTheme="minorHAnsi" w:cstheme="minorHAnsi"/>
        </w:rPr>
        <w:t xml:space="preserve">Bio: </w:t>
      </w:r>
      <w:r w:rsidRPr="005A0B0E">
        <w:rPr>
          <w:rFonts w:asciiTheme="minorHAnsi" w:hAnsiTheme="minorHAnsi" w:cstheme="minorHAnsi"/>
        </w:rPr>
        <w:t xml:space="preserve">18 years expertise </w:t>
      </w:r>
      <w:r w:rsidRPr="005A0B0E">
        <w:rPr>
          <w:rFonts w:asciiTheme="minorHAnsi" w:hAnsiTheme="minorHAnsi" w:cstheme="minorHAnsi"/>
          <w:lang w:val="en-GB"/>
        </w:rPr>
        <w:t>in healthcare sectors</w:t>
      </w:r>
    </w:p>
    <w:p w14:paraId="03282C06" w14:textId="096986B3" w:rsidR="005A0B0E" w:rsidRPr="005A0B0E" w:rsidRDefault="005A0B0E" w:rsidP="00812FA0">
      <w:pPr>
        <w:pStyle w:val="BodyText"/>
        <w:ind w:left="360"/>
        <w:jc w:val="both"/>
        <w:rPr>
          <w:rFonts w:asciiTheme="minorHAnsi" w:hAnsiTheme="minorHAnsi" w:cstheme="minorHAnsi"/>
        </w:rPr>
      </w:pPr>
      <w:r w:rsidRPr="005A0B0E">
        <w:rPr>
          <w:rFonts w:asciiTheme="minorHAnsi" w:hAnsiTheme="minorHAnsi" w:cstheme="minorHAnsi"/>
        </w:rPr>
        <w:t xml:space="preserve">Extensive and diverse experience in regulatory and commercial environment for food supplements, </w:t>
      </w:r>
      <w:r w:rsidR="00263891" w:rsidRPr="005A0B0E">
        <w:rPr>
          <w:rFonts w:asciiTheme="minorHAnsi" w:hAnsiTheme="minorHAnsi" w:cstheme="minorHAnsi"/>
        </w:rPr>
        <w:t>pharmaceuticals (</w:t>
      </w:r>
      <w:r w:rsidRPr="005A0B0E">
        <w:rPr>
          <w:rFonts w:asciiTheme="minorHAnsi" w:hAnsiTheme="minorHAnsi" w:cstheme="minorHAnsi"/>
        </w:rPr>
        <w:t>innovators and generics), biopharmaceuticals (innovator/biosimilars), medical devices &amp; consumer products.</w:t>
      </w:r>
    </w:p>
    <w:p w14:paraId="372D919C" w14:textId="2155DD0C" w:rsidR="005A0B0E" w:rsidRPr="005A0B0E" w:rsidRDefault="005A0B0E" w:rsidP="00812FA0">
      <w:pPr>
        <w:pStyle w:val="BodyText"/>
        <w:ind w:left="360"/>
        <w:jc w:val="both"/>
        <w:rPr>
          <w:rFonts w:asciiTheme="minorHAnsi" w:hAnsiTheme="minorHAnsi" w:cstheme="minorHAnsi"/>
        </w:rPr>
      </w:pPr>
      <w:r w:rsidRPr="005A0B0E">
        <w:rPr>
          <w:rFonts w:asciiTheme="minorHAnsi" w:hAnsiTheme="minorHAnsi" w:cstheme="minorHAnsi"/>
        </w:rPr>
        <w:t xml:space="preserve">Areas of Regulatory Expertise: Oncology, NCS, Biosimilars, Monoclonal Antibodies, Medical Devices Class 1, II, III and IV, Generics, Small Molecules. </w:t>
      </w:r>
    </w:p>
    <w:p w14:paraId="6A37E6B0" w14:textId="5224F20A" w:rsidR="005A0B0E" w:rsidRPr="005A0B0E" w:rsidRDefault="005A0B0E" w:rsidP="00812FA0">
      <w:pPr>
        <w:pStyle w:val="BodyText"/>
        <w:ind w:left="360"/>
        <w:jc w:val="both"/>
        <w:rPr>
          <w:rFonts w:asciiTheme="minorHAnsi" w:hAnsiTheme="minorHAnsi" w:cstheme="minorHAnsi"/>
        </w:rPr>
      </w:pPr>
      <w:r w:rsidRPr="005A0B0E">
        <w:rPr>
          <w:rFonts w:asciiTheme="minorHAnsi" w:hAnsiTheme="minorHAnsi" w:cstheme="minorHAnsi"/>
        </w:rPr>
        <w:t xml:space="preserve">Expertise in full development, licensing and lifecycle management across multiple therapeutic areas, </w:t>
      </w:r>
      <w:r w:rsidR="00263891" w:rsidRPr="005A0B0E">
        <w:rPr>
          <w:rFonts w:asciiTheme="minorHAnsi" w:hAnsiTheme="minorHAnsi" w:cstheme="minorHAnsi"/>
        </w:rPr>
        <w:t>formulations,</w:t>
      </w:r>
      <w:r w:rsidRPr="005A0B0E">
        <w:rPr>
          <w:rFonts w:asciiTheme="minorHAnsi" w:hAnsiTheme="minorHAnsi" w:cstheme="minorHAnsi"/>
        </w:rPr>
        <w:t xml:space="preserve"> and delivery platforms </w:t>
      </w:r>
      <w:r w:rsidRPr="005A0B0E">
        <w:rPr>
          <w:rFonts w:asciiTheme="minorHAnsi" w:hAnsiTheme="minorHAnsi" w:cstheme="minorHAnsi"/>
          <w:lang w:val="en-GB"/>
        </w:rPr>
        <w:t xml:space="preserve">for both new &amp; established products and portfolio development </w:t>
      </w:r>
      <w:r w:rsidRPr="005A0B0E">
        <w:rPr>
          <w:rFonts w:asciiTheme="minorHAnsi" w:hAnsiTheme="minorHAnsi" w:cstheme="minorHAnsi"/>
        </w:rPr>
        <w:t>across global regulatory strategy, product development strategy, and rational product design as well as product due diligence</w:t>
      </w:r>
    </w:p>
    <w:p w14:paraId="7D99D6AF" w14:textId="77777777" w:rsidR="005A0B0E" w:rsidRPr="005A0B0E" w:rsidRDefault="005A0B0E" w:rsidP="00812FA0">
      <w:pPr>
        <w:pStyle w:val="BodyText"/>
        <w:ind w:left="360"/>
        <w:jc w:val="both"/>
        <w:rPr>
          <w:rFonts w:asciiTheme="minorHAnsi" w:hAnsiTheme="minorHAnsi" w:cstheme="minorHAnsi"/>
        </w:rPr>
      </w:pPr>
      <w:r w:rsidRPr="005A0B0E">
        <w:rPr>
          <w:rFonts w:asciiTheme="minorHAnsi" w:hAnsiTheme="minorHAnsi" w:cstheme="minorHAnsi"/>
        </w:rPr>
        <w:t>Therapeutic Areas experience: Oncology, Digestive System, Radiopharmaceutical product, Ophthalmology, Hematology, Cardiovascular and Metabolic, Infections/Parasitic</w:t>
      </w:r>
    </w:p>
    <w:p w14:paraId="1900ED17" w14:textId="34831557" w:rsidR="00B97B42" w:rsidRPr="00812FA0" w:rsidRDefault="005A0B0E" w:rsidP="00812FA0">
      <w:pPr>
        <w:pStyle w:val="BodyText"/>
        <w:jc w:val="both"/>
        <w:rPr>
          <w:rFonts w:asciiTheme="minorHAnsi" w:hAnsiTheme="minorHAnsi" w:cstheme="minorHAnsi"/>
        </w:rPr>
      </w:pPr>
      <w:r w:rsidRPr="005A0B0E">
        <w:rPr>
          <w:rFonts w:asciiTheme="minorHAnsi" w:hAnsiTheme="minorHAnsi" w:cstheme="minorHAnsi"/>
          <w:lang w:val="en-GB"/>
        </w:rPr>
        <w:t xml:space="preserve">Education: </w:t>
      </w:r>
      <w:r w:rsidR="00263891" w:rsidRPr="00812FA0">
        <w:rPr>
          <w:rFonts w:asciiTheme="minorHAnsi" w:hAnsiTheme="minorHAnsi" w:cstheme="minorHAnsi"/>
          <w:lang w:val="en-GB"/>
        </w:rPr>
        <w:t>Bachelor’s in food</w:t>
      </w:r>
      <w:r w:rsidRPr="00812FA0">
        <w:rPr>
          <w:rFonts w:asciiTheme="minorHAnsi" w:hAnsiTheme="minorHAnsi" w:cstheme="minorHAnsi"/>
          <w:lang w:val="en-GB"/>
        </w:rPr>
        <w:t xml:space="preserve"> Chemist 200</w:t>
      </w:r>
      <w:r w:rsidR="00812FA0" w:rsidRPr="00812FA0">
        <w:rPr>
          <w:rFonts w:asciiTheme="minorHAnsi" w:hAnsiTheme="minorHAnsi" w:cstheme="minorHAnsi"/>
          <w:lang w:val="en-GB"/>
        </w:rPr>
        <w:t xml:space="preserve">5, </w:t>
      </w:r>
      <w:r w:rsidR="00263891" w:rsidRPr="00812FA0">
        <w:rPr>
          <w:rFonts w:asciiTheme="minorHAnsi" w:hAnsiTheme="minorHAnsi" w:cstheme="minorHAnsi"/>
          <w:lang w:val="en-GB"/>
        </w:rPr>
        <w:t>master’s in biotechnology</w:t>
      </w:r>
      <w:r w:rsidR="00812FA0" w:rsidRPr="00812FA0">
        <w:rPr>
          <w:rFonts w:asciiTheme="minorHAnsi" w:hAnsiTheme="minorHAnsi" w:cstheme="minorHAnsi"/>
          <w:lang w:val="en-GB"/>
        </w:rPr>
        <w:t xml:space="preserve">, 2009 and MBA 2021. </w:t>
      </w:r>
    </w:p>
    <w:p w14:paraId="120AB9F3" w14:textId="408C493D" w:rsidR="00097E9D" w:rsidRDefault="00097E9D" w:rsidP="00471650">
      <w:pPr>
        <w:pStyle w:val="BodyText"/>
        <w:jc w:val="both"/>
        <w:rPr>
          <w:rFonts w:asciiTheme="minorHAnsi" w:hAnsiTheme="minorHAnsi" w:cstheme="minorHAnsi"/>
        </w:rPr>
      </w:pPr>
    </w:p>
    <w:p w14:paraId="4A2A9C96" w14:textId="71206F13" w:rsidR="00097E9D" w:rsidRPr="00C767C1" w:rsidRDefault="00097E9D" w:rsidP="00C767C1">
      <w:pPr>
        <w:rPr>
          <w:rFonts w:asciiTheme="minorHAnsi" w:hAnsiTheme="minorHAnsi" w:cstheme="minorHAnsi"/>
          <w:sz w:val="18"/>
          <w:szCs w:val="18"/>
          <w:lang w:val="en-NZ"/>
        </w:rPr>
      </w:pPr>
      <w:r w:rsidRPr="00C767C1">
        <w:rPr>
          <w:rFonts w:asciiTheme="minorHAnsi" w:hAnsiTheme="minorHAnsi" w:cstheme="minorHAnsi"/>
          <w:b/>
          <w:sz w:val="18"/>
          <w:szCs w:val="18"/>
          <w:lang w:val="en-NZ"/>
        </w:rPr>
        <w:t xml:space="preserve">Presenting author details </w:t>
      </w:r>
      <w:r w:rsidRPr="00C767C1">
        <w:rPr>
          <w:rFonts w:asciiTheme="minorHAnsi" w:hAnsiTheme="minorHAnsi" w:cstheme="minorHAnsi"/>
          <w:b/>
          <w:sz w:val="18"/>
          <w:szCs w:val="18"/>
          <w:lang w:val="en-NZ"/>
        </w:rPr>
        <w:br/>
      </w:r>
      <w:r w:rsidRPr="00C767C1">
        <w:rPr>
          <w:rFonts w:asciiTheme="minorHAnsi" w:hAnsiTheme="minorHAnsi" w:cstheme="minorHAnsi"/>
          <w:sz w:val="18"/>
          <w:szCs w:val="18"/>
        </w:rPr>
        <w:t xml:space="preserve">Full name: </w:t>
      </w:r>
      <w:r w:rsidRPr="00C767C1">
        <w:rPr>
          <w:rFonts w:asciiTheme="minorHAnsi" w:hAnsiTheme="minorHAnsi" w:cstheme="minorHAnsi"/>
          <w:sz w:val="18"/>
          <w:szCs w:val="18"/>
        </w:rPr>
        <w:t>Jonathan P Aceves</w:t>
      </w:r>
      <w:r w:rsidRPr="00C767C1">
        <w:rPr>
          <w:rFonts w:asciiTheme="minorHAnsi" w:hAnsiTheme="minorHAnsi" w:cstheme="minorHAnsi"/>
          <w:sz w:val="18"/>
          <w:szCs w:val="18"/>
        </w:rPr>
        <w:br/>
        <w:t>Contact number:</w:t>
      </w:r>
      <w:r w:rsidRPr="00C767C1">
        <w:rPr>
          <w:rFonts w:asciiTheme="minorHAnsi" w:hAnsiTheme="minorHAnsi" w:cstheme="minorHAnsi"/>
          <w:sz w:val="18"/>
          <w:szCs w:val="18"/>
        </w:rPr>
        <w:t xml:space="preserve"> +525568899891</w:t>
      </w:r>
      <w:r w:rsidRPr="00C767C1">
        <w:rPr>
          <w:rFonts w:asciiTheme="minorHAnsi" w:hAnsiTheme="minorHAnsi" w:cstheme="minorHAnsi"/>
          <w:sz w:val="18"/>
          <w:szCs w:val="18"/>
        </w:rPr>
        <w:br/>
        <w:t>Twitter account:</w:t>
      </w:r>
      <w:r w:rsidRPr="00C767C1">
        <w:rPr>
          <w:rFonts w:asciiTheme="minorHAnsi" w:hAnsiTheme="minorHAnsi" w:cstheme="minorHAnsi"/>
          <w:sz w:val="18"/>
          <w:szCs w:val="18"/>
        </w:rPr>
        <w:t xml:space="preserve"> </w:t>
      </w:r>
      <w:r w:rsidRPr="00C767C1">
        <w:rPr>
          <w:rFonts w:asciiTheme="minorHAnsi" w:hAnsiTheme="minorHAnsi" w:cstheme="minorHAnsi"/>
          <w:sz w:val="18"/>
          <w:szCs w:val="18"/>
        </w:rPr>
        <w:br/>
        <w:t>Linked In account:</w:t>
      </w:r>
      <w:r w:rsidR="00B46ACC" w:rsidRPr="00C767C1">
        <w:rPr>
          <w:rFonts w:asciiTheme="minorHAnsi" w:hAnsiTheme="minorHAnsi" w:cstheme="minorHAnsi"/>
          <w:sz w:val="18"/>
          <w:szCs w:val="18"/>
        </w:rPr>
        <w:t xml:space="preserve"> </w:t>
      </w:r>
      <w:hyperlink r:id="rId9" w:history="1">
        <w:r w:rsidR="00B46ACC" w:rsidRPr="00C767C1">
          <w:rPr>
            <w:rStyle w:val="Hyperlink"/>
            <w:rFonts w:asciiTheme="minorHAnsi" w:hAnsiTheme="minorHAnsi" w:cstheme="minorHAnsi"/>
            <w:sz w:val="18"/>
            <w:szCs w:val="18"/>
          </w:rPr>
          <w:t>Jonathan (Pablo) Aceves | LinkedIn</w:t>
        </w:r>
      </w:hyperlink>
    </w:p>
    <w:p w14:paraId="60E27835" w14:textId="5A027FD6" w:rsidR="00097E9D" w:rsidRPr="00C767C1" w:rsidRDefault="00097E9D" w:rsidP="00C767C1">
      <w:pPr>
        <w:rPr>
          <w:rFonts w:asciiTheme="minorHAnsi" w:hAnsiTheme="minorHAnsi" w:cstheme="minorHAnsi"/>
          <w:sz w:val="18"/>
          <w:szCs w:val="18"/>
        </w:rPr>
      </w:pPr>
      <w:r w:rsidRPr="00C767C1">
        <w:rPr>
          <w:rFonts w:asciiTheme="minorHAnsi" w:hAnsiTheme="minorHAnsi" w:cstheme="minorHAnsi"/>
          <w:sz w:val="18"/>
          <w:szCs w:val="18"/>
        </w:rPr>
        <w:t>Session</w:t>
      </w:r>
      <w:r w:rsidR="00CC5FA4" w:rsidRPr="00C767C1">
        <w:rPr>
          <w:rFonts w:asciiTheme="minorHAnsi" w:hAnsiTheme="minorHAnsi" w:cstheme="minorHAnsi"/>
          <w:sz w:val="18"/>
          <w:szCs w:val="18"/>
        </w:rPr>
        <w:t xml:space="preserve"> </w:t>
      </w:r>
      <w:r w:rsidRPr="00C767C1">
        <w:rPr>
          <w:rFonts w:asciiTheme="minorHAnsi" w:hAnsiTheme="minorHAnsi" w:cstheme="minorHAnsi"/>
          <w:sz w:val="18"/>
          <w:szCs w:val="18"/>
        </w:rPr>
        <w:t xml:space="preserve">name/ number: </w:t>
      </w:r>
      <w:r w:rsidR="00C767C1" w:rsidRPr="00C767C1">
        <w:rPr>
          <w:rFonts w:asciiTheme="minorHAnsi" w:hAnsiTheme="minorHAnsi" w:cstheme="minorHAnsi"/>
          <w:sz w:val="18"/>
          <w:szCs w:val="18"/>
        </w:rPr>
        <w:t>Regulatory Strategy as key differentiator to accelerate the access of biosimilars to the markets: Current framework, challenges, and risks.</w:t>
      </w:r>
      <w:r w:rsidRPr="00C767C1">
        <w:rPr>
          <w:rFonts w:asciiTheme="minorHAnsi" w:hAnsiTheme="minorHAnsi" w:cstheme="minorHAnsi"/>
          <w:sz w:val="18"/>
          <w:szCs w:val="18"/>
        </w:rPr>
        <w:br/>
        <w:t>Category: (Oral presentation/ Poster presentation)</w:t>
      </w:r>
      <w:r w:rsidR="00C767C1" w:rsidRPr="00C767C1">
        <w:rPr>
          <w:rFonts w:asciiTheme="minorHAnsi" w:hAnsiTheme="minorHAnsi" w:cstheme="minorHAnsi"/>
          <w:sz w:val="18"/>
          <w:szCs w:val="18"/>
        </w:rPr>
        <w:t xml:space="preserve">: Oral Presentation </w:t>
      </w:r>
    </w:p>
    <w:sectPr w:rsidR="00097E9D" w:rsidRPr="00C767C1" w:rsidSect="00464CDF">
      <w:type w:val="continuous"/>
      <w:pgSz w:w="11910" w:h="16840"/>
      <w:pgMar w:top="995"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38285" w14:textId="77777777" w:rsidR="00AD6865" w:rsidRDefault="00AD6865">
      <w:r>
        <w:separator/>
      </w:r>
    </w:p>
  </w:endnote>
  <w:endnote w:type="continuationSeparator" w:id="0">
    <w:p w14:paraId="6B0580E4" w14:textId="77777777" w:rsidR="00AD6865" w:rsidRDefault="00AD6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D4409" w14:textId="0761B2DA" w:rsidR="00AE3E37" w:rsidRDefault="00292ED9">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492FB7FC" wp14:editId="4A1702D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F4028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D10E8E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2FB7FC" id="_x0000_t202" coordsize="21600,21600" o:spt="202" path="m,l,21600r21600,l21600,xe">
              <v:stroke joinstyle="miter"/>
              <v:path gradientshapeok="t" o:connecttype="rect"/>
            </v:shapetype>
            <v:shape id="Text Box 2" o:spid="_x0000_s1026" type="#_x0000_t202" style="position:absolute;margin-left:252.1pt;margin-top:799.05pt;width:91.9pt;height:24.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" filled="f" stroked="f">
              <v:textbox inset="0,0,0,0">
                <w:txbxContent>
                  <w:p w14:paraId="35F4028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D10E8E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0800" behindDoc="1" locked="0" layoutInCell="1" allowOverlap="1" wp14:anchorId="373C3836" wp14:editId="1C45326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0763F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392379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3C3836" id="Text Box 1" o:spid="_x0000_s1027" type="#_x0000_t202" style="position:absolute;margin-left:468.9pt;margin-top:798.8pt;width:91.4pt;height:26.0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" filled="f" stroked="f">
              <v:textbox inset="0,0,0,0">
                <w:txbxContent>
                  <w:p w14:paraId="610763F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392379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68773" w14:textId="77777777" w:rsidR="00AD6865" w:rsidRDefault="00AD6865">
      <w:r>
        <w:separator/>
      </w:r>
    </w:p>
  </w:footnote>
  <w:footnote w:type="continuationSeparator" w:id="0">
    <w:p w14:paraId="267EA6D5" w14:textId="77777777" w:rsidR="00AD6865" w:rsidRDefault="00AD68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3CF"/>
    <w:multiLevelType w:val="hybridMultilevel"/>
    <w:tmpl w:val="19E268DC"/>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 w15:restartNumberingAfterBreak="0">
    <w:nsid w:val="0CDC77D6"/>
    <w:multiLevelType w:val="hybridMultilevel"/>
    <w:tmpl w:val="5FF80638"/>
    <w:lvl w:ilvl="0" w:tplc="2020BE30">
      <w:numFmt w:val="bullet"/>
      <w:lvlText w:val="•"/>
      <w:lvlJc w:val="left"/>
      <w:pPr>
        <w:ind w:left="1080" w:hanging="720"/>
      </w:pPr>
      <w:rPr>
        <w:rFonts w:ascii="Calibri" w:eastAsia="Tw Cen MT"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EF0075"/>
    <w:multiLevelType w:val="hybridMultilevel"/>
    <w:tmpl w:val="81E8137C"/>
    <w:lvl w:ilvl="0" w:tplc="2020BE30">
      <w:numFmt w:val="bullet"/>
      <w:lvlText w:val="•"/>
      <w:lvlJc w:val="left"/>
      <w:pPr>
        <w:ind w:left="1080" w:hanging="720"/>
      </w:pPr>
      <w:rPr>
        <w:rFonts w:ascii="Calibri" w:eastAsia="Tw Cen MT"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5F1FF1"/>
    <w:multiLevelType w:val="hybridMultilevel"/>
    <w:tmpl w:val="C5920626"/>
    <w:lvl w:ilvl="0" w:tplc="4992B9F8">
      <w:start w:val="1"/>
      <w:numFmt w:val="bullet"/>
      <w:lvlText w:val=""/>
      <w:lvlJc w:val="left"/>
      <w:pPr>
        <w:ind w:left="720" w:hanging="360"/>
      </w:pPr>
      <w:rPr>
        <w:rFonts w:ascii="Symbol" w:hAnsi="Symbol" w:hint="default"/>
        <w:color w:val="EEECE1" w:themeColor="background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573895"/>
    <w:multiLevelType w:val="hybridMultilevel"/>
    <w:tmpl w:val="410AA76A"/>
    <w:lvl w:ilvl="0" w:tplc="5A0A99AE">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6" w15:restartNumberingAfterBreak="0">
    <w:nsid w:val="3A953359"/>
    <w:multiLevelType w:val="hybridMultilevel"/>
    <w:tmpl w:val="48207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10764A"/>
    <w:multiLevelType w:val="hybridMultilevel"/>
    <w:tmpl w:val="86722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337F58"/>
    <w:multiLevelType w:val="hybridMultilevel"/>
    <w:tmpl w:val="70D659A0"/>
    <w:lvl w:ilvl="0" w:tplc="C6F2A776">
      <w:start w:val="1"/>
      <w:numFmt w:val="bullet"/>
      <w:lvlText w:val="•"/>
      <w:lvlJc w:val="left"/>
      <w:pPr>
        <w:tabs>
          <w:tab w:val="num" w:pos="720"/>
        </w:tabs>
        <w:ind w:left="720" w:hanging="360"/>
      </w:pPr>
      <w:rPr>
        <w:rFonts w:ascii="Arial" w:hAnsi="Arial" w:hint="default"/>
      </w:rPr>
    </w:lvl>
    <w:lvl w:ilvl="1" w:tplc="DBC22BF6" w:tentative="1">
      <w:start w:val="1"/>
      <w:numFmt w:val="bullet"/>
      <w:lvlText w:val="•"/>
      <w:lvlJc w:val="left"/>
      <w:pPr>
        <w:tabs>
          <w:tab w:val="num" w:pos="1440"/>
        </w:tabs>
        <w:ind w:left="1440" w:hanging="360"/>
      </w:pPr>
      <w:rPr>
        <w:rFonts w:ascii="Arial" w:hAnsi="Arial" w:hint="default"/>
      </w:rPr>
    </w:lvl>
    <w:lvl w:ilvl="2" w:tplc="D5AEFE5A" w:tentative="1">
      <w:start w:val="1"/>
      <w:numFmt w:val="bullet"/>
      <w:lvlText w:val="•"/>
      <w:lvlJc w:val="left"/>
      <w:pPr>
        <w:tabs>
          <w:tab w:val="num" w:pos="2160"/>
        </w:tabs>
        <w:ind w:left="2160" w:hanging="360"/>
      </w:pPr>
      <w:rPr>
        <w:rFonts w:ascii="Arial" w:hAnsi="Arial" w:hint="default"/>
      </w:rPr>
    </w:lvl>
    <w:lvl w:ilvl="3" w:tplc="8B6E6382" w:tentative="1">
      <w:start w:val="1"/>
      <w:numFmt w:val="bullet"/>
      <w:lvlText w:val="•"/>
      <w:lvlJc w:val="left"/>
      <w:pPr>
        <w:tabs>
          <w:tab w:val="num" w:pos="2880"/>
        </w:tabs>
        <w:ind w:left="2880" w:hanging="360"/>
      </w:pPr>
      <w:rPr>
        <w:rFonts w:ascii="Arial" w:hAnsi="Arial" w:hint="default"/>
      </w:rPr>
    </w:lvl>
    <w:lvl w:ilvl="4" w:tplc="09EE3242" w:tentative="1">
      <w:start w:val="1"/>
      <w:numFmt w:val="bullet"/>
      <w:lvlText w:val="•"/>
      <w:lvlJc w:val="left"/>
      <w:pPr>
        <w:tabs>
          <w:tab w:val="num" w:pos="3600"/>
        </w:tabs>
        <w:ind w:left="3600" w:hanging="360"/>
      </w:pPr>
      <w:rPr>
        <w:rFonts w:ascii="Arial" w:hAnsi="Arial" w:hint="default"/>
      </w:rPr>
    </w:lvl>
    <w:lvl w:ilvl="5" w:tplc="718C9228" w:tentative="1">
      <w:start w:val="1"/>
      <w:numFmt w:val="bullet"/>
      <w:lvlText w:val="•"/>
      <w:lvlJc w:val="left"/>
      <w:pPr>
        <w:tabs>
          <w:tab w:val="num" w:pos="4320"/>
        </w:tabs>
        <w:ind w:left="4320" w:hanging="360"/>
      </w:pPr>
      <w:rPr>
        <w:rFonts w:ascii="Arial" w:hAnsi="Arial" w:hint="default"/>
      </w:rPr>
    </w:lvl>
    <w:lvl w:ilvl="6" w:tplc="A2703DC2" w:tentative="1">
      <w:start w:val="1"/>
      <w:numFmt w:val="bullet"/>
      <w:lvlText w:val="•"/>
      <w:lvlJc w:val="left"/>
      <w:pPr>
        <w:tabs>
          <w:tab w:val="num" w:pos="5040"/>
        </w:tabs>
        <w:ind w:left="5040" w:hanging="360"/>
      </w:pPr>
      <w:rPr>
        <w:rFonts w:ascii="Arial" w:hAnsi="Arial" w:hint="default"/>
      </w:rPr>
    </w:lvl>
    <w:lvl w:ilvl="7" w:tplc="8E722A64" w:tentative="1">
      <w:start w:val="1"/>
      <w:numFmt w:val="bullet"/>
      <w:lvlText w:val="•"/>
      <w:lvlJc w:val="left"/>
      <w:pPr>
        <w:tabs>
          <w:tab w:val="num" w:pos="5760"/>
        </w:tabs>
        <w:ind w:left="5760" w:hanging="360"/>
      </w:pPr>
      <w:rPr>
        <w:rFonts w:ascii="Arial" w:hAnsi="Arial" w:hint="default"/>
      </w:rPr>
    </w:lvl>
    <w:lvl w:ilvl="8" w:tplc="B178FDA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AEE4D53"/>
    <w:multiLevelType w:val="hybridMultilevel"/>
    <w:tmpl w:val="B66AA3BC"/>
    <w:lvl w:ilvl="0" w:tplc="2020BE30">
      <w:numFmt w:val="bullet"/>
      <w:lvlText w:val="•"/>
      <w:lvlJc w:val="left"/>
      <w:pPr>
        <w:ind w:left="1080" w:hanging="720"/>
      </w:pPr>
      <w:rPr>
        <w:rFonts w:ascii="Calibri" w:eastAsia="Tw Cen MT"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11" w15:restartNumberingAfterBreak="0">
    <w:nsid w:val="604C0968"/>
    <w:multiLevelType w:val="hybridMultilevel"/>
    <w:tmpl w:val="20583E88"/>
    <w:lvl w:ilvl="0" w:tplc="66DEC79C">
      <w:start w:val="1"/>
      <w:numFmt w:val="bullet"/>
      <w:lvlText w:val=""/>
      <w:lvlJc w:val="left"/>
      <w:pPr>
        <w:tabs>
          <w:tab w:val="num" w:pos="720"/>
        </w:tabs>
        <w:ind w:left="720" w:hanging="360"/>
      </w:pPr>
      <w:rPr>
        <w:rFonts w:ascii="Symbol" w:hAnsi="Symbol" w:hint="default"/>
      </w:rPr>
    </w:lvl>
    <w:lvl w:ilvl="1" w:tplc="2332775E" w:tentative="1">
      <w:start w:val="1"/>
      <w:numFmt w:val="bullet"/>
      <w:lvlText w:val=""/>
      <w:lvlJc w:val="left"/>
      <w:pPr>
        <w:tabs>
          <w:tab w:val="num" w:pos="1440"/>
        </w:tabs>
        <w:ind w:left="1440" w:hanging="360"/>
      </w:pPr>
      <w:rPr>
        <w:rFonts w:ascii="Symbol" w:hAnsi="Symbol" w:hint="default"/>
      </w:rPr>
    </w:lvl>
    <w:lvl w:ilvl="2" w:tplc="EF402CDC" w:tentative="1">
      <w:start w:val="1"/>
      <w:numFmt w:val="bullet"/>
      <w:lvlText w:val=""/>
      <w:lvlJc w:val="left"/>
      <w:pPr>
        <w:tabs>
          <w:tab w:val="num" w:pos="2160"/>
        </w:tabs>
        <w:ind w:left="2160" w:hanging="360"/>
      </w:pPr>
      <w:rPr>
        <w:rFonts w:ascii="Symbol" w:hAnsi="Symbol" w:hint="default"/>
      </w:rPr>
    </w:lvl>
    <w:lvl w:ilvl="3" w:tplc="3D625D74" w:tentative="1">
      <w:start w:val="1"/>
      <w:numFmt w:val="bullet"/>
      <w:lvlText w:val=""/>
      <w:lvlJc w:val="left"/>
      <w:pPr>
        <w:tabs>
          <w:tab w:val="num" w:pos="2880"/>
        </w:tabs>
        <w:ind w:left="2880" w:hanging="360"/>
      </w:pPr>
      <w:rPr>
        <w:rFonts w:ascii="Symbol" w:hAnsi="Symbol" w:hint="default"/>
      </w:rPr>
    </w:lvl>
    <w:lvl w:ilvl="4" w:tplc="A086A6BA" w:tentative="1">
      <w:start w:val="1"/>
      <w:numFmt w:val="bullet"/>
      <w:lvlText w:val=""/>
      <w:lvlJc w:val="left"/>
      <w:pPr>
        <w:tabs>
          <w:tab w:val="num" w:pos="3600"/>
        </w:tabs>
        <w:ind w:left="3600" w:hanging="360"/>
      </w:pPr>
      <w:rPr>
        <w:rFonts w:ascii="Symbol" w:hAnsi="Symbol" w:hint="default"/>
      </w:rPr>
    </w:lvl>
    <w:lvl w:ilvl="5" w:tplc="D31422EA" w:tentative="1">
      <w:start w:val="1"/>
      <w:numFmt w:val="bullet"/>
      <w:lvlText w:val=""/>
      <w:lvlJc w:val="left"/>
      <w:pPr>
        <w:tabs>
          <w:tab w:val="num" w:pos="4320"/>
        </w:tabs>
        <w:ind w:left="4320" w:hanging="360"/>
      </w:pPr>
      <w:rPr>
        <w:rFonts w:ascii="Symbol" w:hAnsi="Symbol" w:hint="default"/>
      </w:rPr>
    </w:lvl>
    <w:lvl w:ilvl="6" w:tplc="E0FA84DA" w:tentative="1">
      <w:start w:val="1"/>
      <w:numFmt w:val="bullet"/>
      <w:lvlText w:val=""/>
      <w:lvlJc w:val="left"/>
      <w:pPr>
        <w:tabs>
          <w:tab w:val="num" w:pos="5040"/>
        </w:tabs>
        <w:ind w:left="5040" w:hanging="360"/>
      </w:pPr>
      <w:rPr>
        <w:rFonts w:ascii="Symbol" w:hAnsi="Symbol" w:hint="default"/>
      </w:rPr>
    </w:lvl>
    <w:lvl w:ilvl="7" w:tplc="2DC4275A" w:tentative="1">
      <w:start w:val="1"/>
      <w:numFmt w:val="bullet"/>
      <w:lvlText w:val=""/>
      <w:lvlJc w:val="left"/>
      <w:pPr>
        <w:tabs>
          <w:tab w:val="num" w:pos="5760"/>
        </w:tabs>
        <w:ind w:left="5760" w:hanging="360"/>
      </w:pPr>
      <w:rPr>
        <w:rFonts w:ascii="Symbol" w:hAnsi="Symbol" w:hint="default"/>
      </w:rPr>
    </w:lvl>
    <w:lvl w:ilvl="8" w:tplc="E9F4F1B8"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67FC02CB"/>
    <w:multiLevelType w:val="hybridMultilevel"/>
    <w:tmpl w:val="91D40F9E"/>
    <w:lvl w:ilvl="0" w:tplc="2020BE30">
      <w:numFmt w:val="bullet"/>
      <w:lvlText w:val="•"/>
      <w:lvlJc w:val="left"/>
      <w:pPr>
        <w:ind w:left="720" w:hanging="720"/>
      </w:pPr>
      <w:rPr>
        <w:rFonts w:ascii="Calibri" w:eastAsia="Tw Cen MT"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A3E27E9"/>
    <w:multiLevelType w:val="hybridMultilevel"/>
    <w:tmpl w:val="B290CC2A"/>
    <w:lvl w:ilvl="0" w:tplc="04090001">
      <w:start w:val="1"/>
      <w:numFmt w:val="bullet"/>
      <w:lvlText w:val=""/>
      <w:lvlJc w:val="left"/>
      <w:pPr>
        <w:ind w:left="758" w:hanging="360"/>
      </w:pPr>
      <w:rPr>
        <w:rFonts w:ascii="Symbol" w:hAnsi="Symbol" w:hint="default"/>
      </w:rPr>
    </w:lvl>
    <w:lvl w:ilvl="1" w:tplc="04090003" w:tentative="1">
      <w:start w:val="1"/>
      <w:numFmt w:val="bullet"/>
      <w:lvlText w:val="o"/>
      <w:lvlJc w:val="left"/>
      <w:pPr>
        <w:ind w:left="1478" w:hanging="360"/>
      </w:pPr>
      <w:rPr>
        <w:rFonts w:ascii="Courier New" w:hAnsi="Courier New" w:cs="Courier New" w:hint="default"/>
      </w:rPr>
    </w:lvl>
    <w:lvl w:ilvl="2" w:tplc="04090005" w:tentative="1">
      <w:start w:val="1"/>
      <w:numFmt w:val="bullet"/>
      <w:lvlText w:val=""/>
      <w:lvlJc w:val="left"/>
      <w:pPr>
        <w:ind w:left="2198" w:hanging="360"/>
      </w:pPr>
      <w:rPr>
        <w:rFonts w:ascii="Wingdings" w:hAnsi="Wingdings" w:hint="default"/>
      </w:rPr>
    </w:lvl>
    <w:lvl w:ilvl="3" w:tplc="04090001" w:tentative="1">
      <w:start w:val="1"/>
      <w:numFmt w:val="bullet"/>
      <w:lvlText w:val=""/>
      <w:lvlJc w:val="left"/>
      <w:pPr>
        <w:ind w:left="2918" w:hanging="360"/>
      </w:pPr>
      <w:rPr>
        <w:rFonts w:ascii="Symbol" w:hAnsi="Symbol" w:hint="default"/>
      </w:rPr>
    </w:lvl>
    <w:lvl w:ilvl="4" w:tplc="04090003" w:tentative="1">
      <w:start w:val="1"/>
      <w:numFmt w:val="bullet"/>
      <w:lvlText w:val="o"/>
      <w:lvlJc w:val="left"/>
      <w:pPr>
        <w:ind w:left="3638" w:hanging="360"/>
      </w:pPr>
      <w:rPr>
        <w:rFonts w:ascii="Courier New" w:hAnsi="Courier New" w:cs="Courier New" w:hint="default"/>
      </w:rPr>
    </w:lvl>
    <w:lvl w:ilvl="5" w:tplc="04090005" w:tentative="1">
      <w:start w:val="1"/>
      <w:numFmt w:val="bullet"/>
      <w:lvlText w:val=""/>
      <w:lvlJc w:val="left"/>
      <w:pPr>
        <w:ind w:left="4358" w:hanging="360"/>
      </w:pPr>
      <w:rPr>
        <w:rFonts w:ascii="Wingdings" w:hAnsi="Wingdings" w:hint="default"/>
      </w:rPr>
    </w:lvl>
    <w:lvl w:ilvl="6" w:tplc="04090001" w:tentative="1">
      <w:start w:val="1"/>
      <w:numFmt w:val="bullet"/>
      <w:lvlText w:val=""/>
      <w:lvlJc w:val="left"/>
      <w:pPr>
        <w:ind w:left="5078" w:hanging="360"/>
      </w:pPr>
      <w:rPr>
        <w:rFonts w:ascii="Symbol" w:hAnsi="Symbol" w:hint="default"/>
      </w:rPr>
    </w:lvl>
    <w:lvl w:ilvl="7" w:tplc="04090003" w:tentative="1">
      <w:start w:val="1"/>
      <w:numFmt w:val="bullet"/>
      <w:lvlText w:val="o"/>
      <w:lvlJc w:val="left"/>
      <w:pPr>
        <w:ind w:left="5798" w:hanging="360"/>
      </w:pPr>
      <w:rPr>
        <w:rFonts w:ascii="Courier New" w:hAnsi="Courier New" w:cs="Courier New" w:hint="default"/>
      </w:rPr>
    </w:lvl>
    <w:lvl w:ilvl="8" w:tplc="04090005" w:tentative="1">
      <w:start w:val="1"/>
      <w:numFmt w:val="bullet"/>
      <w:lvlText w:val=""/>
      <w:lvlJc w:val="left"/>
      <w:pPr>
        <w:ind w:left="6518" w:hanging="360"/>
      </w:pPr>
      <w:rPr>
        <w:rFonts w:ascii="Wingdings" w:hAnsi="Wingdings" w:hint="default"/>
      </w:rPr>
    </w:lvl>
  </w:abstractNum>
  <w:abstractNum w:abstractNumId="14" w15:restartNumberingAfterBreak="0">
    <w:nsid w:val="71AF20D0"/>
    <w:multiLevelType w:val="hybridMultilevel"/>
    <w:tmpl w:val="F014D8B6"/>
    <w:lvl w:ilvl="0" w:tplc="35A8D7A4">
      <w:start w:val="1"/>
      <w:numFmt w:val="bullet"/>
      <w:lvlText w:val="•"/>
      <w:lvlJc w:val="left"/>
      <w:pPr>
        <w:tabs>
          <w:tab w:val="num" w:pos="720"/>
        </w:tabs>
        <w:ind w:left="720" w:hanging="360"/>
      </w:pPr>
      <w:rPr>
        <w:rFonts w:ascii="Arial" w:hAnsi="Arial" w:hint="default"/>
      </w:rPr>
    </w:lvl>
    <w:lvl w:ilvl="1" w:tplc="591ABDC6" w:tentative="1">
      <w:start w:val="1"/>
      <w:numFmt w:val="bullet"/>
      <w:lvlText w:val="•"/>
      <w:lvlJc w:val="left"/>
      <w:pPr>
        <w:tabs>
          <w:tab w:val="num" w:pos="1440"/>
        </w:tabs>
        <w:ind w:left="1440" w:hanging="360"/>
      </w:pPr>
      <w:rPr>
        <w:rFonts w:ascii="Arial" w:hAnsi="Arial" w:hint="default"/>
      </w:rPr>
    </w:lvl>
    <w:lvl w:ilvl="2" w:tplc="E88A7C72" w:tentative="1">
      <w:start w:val="1"/>
      <w:numFmt w:val="bullet"/>
      <w:lvlText w:val="•"/>
      <w:lvlJc w:val="left"/>
      <w:pPr>
        <w:tabs>
          <w:tab w:val="num" w:pos="2160"/>
        </w:tabs>
        <w:ind w:left="2160" w:hanging="360"/>
      </w:pPr>
      <w:rPr>
        <w:rFonts w:ascii="Arial" w:hAnsi="Arial" w:hint="default"/>
      </w:rPr>
    </w:lvl>
    <w:lvl w:ilvl="3" w:tplc="A3E28C82" w:tentative="1">
      <w:start w:val="1"/>
      <w:numFmt w:val="bullet"/>
      <w:lvlText w:val="•"/>
      <w:lvlJc w:val="left"/>
      <w:pPr>
        <w:tabs>
          <w:tab w:val="num" w:pos="2880"/>
        </w:tabs>
        <w:ind w:left="2880" w:hanging="360"/>
      </w:pPr>
      <w:rPr>
        <w:rFonts w:ascii="Arial" w:hAnsi="Arial" w:hint="default"/>
      </w:rPr>
    </w:lvl>
    <w:lvl w:ilvl="4" w:tplc="C9E4DB58" w:tentative="1">
      <w:start w:val="1"/>
      <w:numFmt w:val="bullet"/>
      <w:lvlText w:val="•"/>
      <w:lvlJc w:val="left"/>
      <w:pPr>
        <w:tabs>
          <w:tab w:val="num" w:pos="3600"/>
        </w:tabs>
        <w:ind w:left="3600" w:hanging="360"/>
      </w:pPr>
      <w:rPr>
        <w:rFonts w:ascii="Arial" w:hAnsi="Arial" w:hint="default"/>
      </w:rPr>
    </w:lvl>
    <w:lvl w:ilvl="5" w:tplc="461277CA" w:tentative="1">
      <w:start w:val="1"/>
      <w:numFmt w:val="bullet"/>
      <w:lvlText w:val="•"/>
      <w:lvlJc w:val="left"/>
      <w:pPr>
        <w:tabs>
          <w:tab w:val="num" w:pos="4320"/>
        </w:tabs>
        <w:ind w:left="4320" w:hanging="360"/>
      </w:pPr>
      <w:rPr>
        <w:rFonts w:ascii="Arial" w:hAnsi="Arial" w:hint="default"/>
      </w:rPr>
    </w:lvl>
    <w:lvl w:ilvl="6" w:tplc="DCAEB078" w:tentative="1">
      <w:start w:val="1"/>
      <w:numFmt w:val="bullet"/>
      <w:lvlText w:val="•"/>
      <w:lvlJc w:val="left"/>
      <w:pPr>
        <w:tabs>
          <w:tab w:val="num" w:pos="5040"/>
        </w:tabs>
        <w:ind w:left="5040" w:hanging="360"/>
      </w:pPr>
      <w:rPr>
        <w:rFonts w:ascii="Arial" w:hAnsi="Arial" w:hint="default"/>
      </w:rPr>
    </w:lvl>
    <w:lvl w:ilvl="7" w:tplc="8770421C" w:tentative="1">
      <w:start w:val="1"/>
      <w:numFmt w:val="bullet"/>
      <w:lvlText w:val="•"/>
      <w:lvlJc w:val="left"/>
      <w:pPr>
        <w:tabs>
          <w:tab w:val="num" w:pos="5760"/>
        </w:tabs>
        <w:ind w:left="5760" w:hanging="360"/>
      </w:pPr>
      <w:rPr>
        <w:rFonts w:ascii="Arial" w:hAnsi="Arial" w:hint="default"/>
      </w:rPr>
    </w:lvl>
    <w:lvl w:ilvl="8" w:tplc="BF022ED2"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77930C2A"/>
    <w:multiLevelType w:val="hybridMultilevel"/>
    <w:tmpl w:val="CC2C47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11429828">
    <w:abstractNumId w:val="5"/>
  </w:num>
  <w:num w:numId="2" w16cid:durableId="1748258865">
    <w:abstractNumId w:val="10"/>
  </w:num>
  <w:num w:numId="3" w16cid:durableId="1513448977">
    <w:abstractNumId w:val="5"/>
    <w:lvlOverride w:ilvl="0">
      <w:startOverride w:val="1"/>
    </w:lvlOverride>
    <w:lvlOverride w:ilvl="1"/>
    <w:lvlOverride w:ilvl="2"/>
    <w:lvlOverride w:ilvl="3"/>
    <w:lvlOverride w:ilvl="4"/>
    <w:lvlOverride w:ilvl="5"/>
    <w:lvlOverride w:ilvl="6"/>
    <w:lvlOverride w:ilvl="7"/>
    <w:lvlOverride w:ilvl="8"/>
  </w:num>
  <w:num w:numId="4" w16cid:durableId="1280185237">
    <w:abstractNumId w:val="13"/>
  </w:num>
  <w:num w:numId="5" w16cid:durableId="1290433453">
    <w:abstractNumId w:val="6"/>
  </w:num>
  <w:num w:numId="6" w16cid:durableId="478960313">
    <w:abstractNumId w:val="9"/>
  </w:num>
  <w:num w:numId="7" w16cid:durableId="588392910">
    <w:abstractNumId w:val="1"/>
  </w:num>
  <w:num w:numId="8" w16cid:durableId="400375388">
    <w:abstractNumId w:val="2"/>
  </w:num>
  <w:num w:numId="9" w16cid:durableId="1265915518">
    <w:abstractNumId w:val="12"/>
  </w:num>
  <w:num w:numId="10" w16cid:durableId="1574002525">
    <w:abstractNumId w:val="3"/>
  </w:num>
  <w:num w:numId="11" w16cid:durableId="1173762147">
    <w:abstractNumId w:val="0"/>
  </w:num>
  <w:num w:numId="12" w16cid:durableId="756513804">
    <w:abstractNumId w:val="7"/>
  </w:num>
  <w:num w:numId="13" w16cid:durableId="1797484302">
    <w:abstractNumId w:val="4"/>
  </w:num>
  <w:num w:numId="14" w16cid:durableId="81268875">
    <w:abstractNumId w:val="8"/>
  </w:num>
  <w:num w:numId="15" w16cid:durableId="1550413795">
    <w:abstractNumId w:val="11"/>
  </w:num>
  <w:num w:numId="16" w16cid:durableId="721485927">
    <w:abstractNumId w:val="14"/>
  </w:num>
  <w:num w:numId="17" w16cid:durableId="18864539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21F8E"/>
    <w:rsid w:val="000534A1"/>
    <w:rsid w:val="0006797A"/>
    <w:rsid w:val="00097E9D"/>
    <w:rsid w:val="000B4CAA"/>
    <w:rsid w:val="000E2911"/>
    <w:rsid w:val="000E529C"/>
    <w:rsid w:val="001263DF"/>
    <w:rsid w:val="001C2862"/>
    <w:rsid w:val="00214643"/>
    <w:rsid w:val="00263891"/>
    <w:rsid w:val="002657DD"/>
    <w:rsid w:val="00292ED9"/>
    <w:rsid w:val="002B3C83"/>
    <w:rsid w:val="00351D9B"/>
    <w:rsid w:val="00380299"/>
    <w:rsid w:val="003B6B56"/>
    <w:rsid w:val="00404E5B"/>
    <w:rsid w:val="00414F7B"/>
    <w:rsid w:val="004355DC"/>
    <w:rsid w:val="00464CDF"/>
    <w:rsid w:val="00471650"/>
    <w:rsid w:val="004749B4"/>
    <w:rsid w:val="00475D20"/>
    <w:rsid w:val="00494130"/>
    <w:rsid w:val="004F3523"/>
    <w:rsid w:val="0056272F"/>
    <w:rsid w:val="00590D60"/>
    <w:rsid w:val="005973B9"/>
    <w:rsid w:val="005A0B0E"/>
    <w:rsid w:val="005B3A56"/>
    <w:rsid w:val="005C611D"/>
    <w:rsid w:val="005D4EA9"/>
    <w:rsid w:val="005F49EF"/>
    <w:rsid w:val="006060CE"/>
    <w:rsid w:val="0061505C"/>
    <w:rsid w:val="0063497F"/>
    <w:rsid w:val="00714354"/>
    <w:rsid w:val="00812FA0"/>
    <w:rsid w:val="00873DF0"/>
    <w:rsid w:val="008756E6"/>
    <w:rsid w:val="00897EC5"/>
    <w:rsid w:val="008A0763"/>
    <w:rsid w:val="008E5477"/>
    <w:rsid w:val="008F6A14"/>
    <w:rsid w:val="00935EA1"/>
    <w:rsid w:val="009B2D44"/>
    <w:rsid w:val="009C217C"/>
    <w:rsid w:val="009C2D7C"/>
    <w:rsid w:val="00A07E82"/>
    <w:rsid w:val="00A52075"/>
    <w:rsid w:val="00A9710C"/>
    <w:rsid w:val="00AB3CCD"/>
    <w:rsid w:val="00AD6865"/>
    <w:rsid w:val="00AE3E37"/>
    <w:rsid w:val="00B21A57"/>
    <w:rsid w:val="00B46ACC"/>
    <w:rsid w:val="00B72096"/>
    <w:rsid w:val="00B97B42"/>
    <w:rsid w:val="00BE6743"/>
    <w:rsid w:val="00C33602"/>
    <w:rsid w:val="00C56C74"/>
    <w:rsid w:val="00C767C1"/>
    <w:rsid w:val="00CC5FA4"/>
    <w:rsid w:val="00CD6F55"/>
    <w:rsid w:val="00DE3104"/>
    <w:rsid w:val="00DE6170"/>
    <w:rsid w:val="00E30AAC"/>
    <w:rsid w:val="00E95D97"/>
    <w:rsid w:val="00EA7D51"/>
    <w:rsid w:val="00EF68E9"/>
    <w:rsid w:val="00F046EA"/>
    <w:rsid w:val="00F1145D"/>
    <w:rsid w:val="00F312EA"/>
    <w:rsid w:val="00F35A62"/>
    <w:rsid w:val="00F41097"/>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FE83E3"/>
  <w15:docId w15:val="{5D4F8181-BB73-41C1-BB73-8972A6132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link w:val="ListParagraphChar"/>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FootnoteText">
    <w:name w:val="footnote text"/>
    <w:basedOn w:val="Normal"/>
    <w:link w:val="FootnoteTextChar"/>
    <w:uiPriority w:val="99"/>
    <w:semiHidden/>
    <w:unhideWhenUsed/>
    <w:rsid w:val="00F41097"/>
    <w:pPr>
      <w:widowControl/>
    </w:pPr>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F41097"/>
    <w:rPr>
      <w:sz w:val="20"/>
      <w:szCs w:val="20"/>
      <w:lang w:val="en-GB"/>
    </w:rPr>
  </w:style>
  <w:style w:type="character" w:styleId="FootnoteReference">
    <w:name w:val="footnote reference"/>
    <w:basedOn w:val="DefaultParagraphFont"/>
    <w:uiPriority w:val="99"/>
    <w:semiHidden/>
    <w:unhideWhenUsed/>
    <w:rsid w:val="00F41097"/>
    <w:rPr>
      <w:vertAlign w:val="superscript"/>
    </w:rPr>
  </w:style>
  <w:style w:type="paragraph" w:customStyle="1" w:styleId="Default">
    <w:name w:val="Default"/>
    <w:rsid w:val="00F41097"/>
    <w:pPr>
      <w:widowControl/>
      <w:autoSpaceDE w:val="0"/>
      <w:autoSpaceDN w:val="0"/>
      <w:adjustRightInd w:val="0"/>
    </w:pPr>
    <w:rPr>
      <w:rFonts w:ascii="Times New Roman" w:hAnsi="Times New Roman" w:cs="Times New Roman"/>
      <w:color w:val="000000"/>
      <w:sz w:val="24"/>
      <w:szCs w:val="24"/>
      <w:lang w:val="en-GB"/>
    </w:rPr>
  </w:style>
  <w:style w:type="paragraph" w:styleId="NormalWeb">
    <w:name w:val="Normal (Web)"/>
    <w:basedOn w:val="Normal"/>
    <w:uiPriority w:val="99"/>
    <w:unhideWhenUsed/>
    <w:rsid w:val="009C217C"/>
    <w:pPr>
      <w:widowControl/>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ListParagraphChar">
    <w:name w:val="List Paragraph Char"/>
    <w:basedOn w:val="DefaultParagraphFont"/>
    <w:link w:val="ListParagraph"/>
    <w:uiPriority w:val="34"/>
    <w:rsid w:val="00AB3CCD"/>
    <w:rPr>
      <w:rFonts w:ascii="Calibri" w:eastAsia="Calibri" w:hAnsi="Calibri" w:cs="Calibri"/>
    </w:rPr>
  </w:style>
  <w:style w:type="character" w:styleId="CommentReference">
    <w:name w:val="annotation reference"/>
    <w:basedOn w:val="DefaultParagraphFont"/>
    <w:uiPriority w:val="99"/>
    <w:semiHidden/>
    <w:unhideWhenUsed/>
    <w:rsid w:val="009C2D7C"/>
    <w:rPr>
      <w:sz w:val="16"/>
      <w:szCs w:val="16"/>
    </w:rPr>
  </w:style>
  <w:style w:type="paragraph" w:styleId="CommentText">
    <w:name w:val="annotation text"/>
    <w:basedOn w:val="Normal"/>
    <w:link w:val="CommentTextChar"/>
    <w:uiPriority w:val="99"/>
    <w:semiHidden/>
    <w:unhideWhenUsed/>
    <w:rsid w:val="009C2D7C"/>
    <w:rPr>
      <w:sz w:val="20"/>
      <w:szCs w:val="20"/>
    </w:rPr>
  </w:style>
  <w:style w:type="character" w:customStyle="1" w:styleId="CommentTextChar">
    <w:name w:val="Comment Text Char"/>
    <w:basedOn w:val="DefaultParagraphFont"/>
    <w:link w:val="CommentText"/>
    <w:uiPriority w:val="99"/>
    <w:semiHidden/>
    <w:rsid w:val="009C2D7C"/>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9C2D7C"/>
    <w:rPr>
      <w:b/>
      <w:bCs/>
    </w:rPr>
  </w:style>
  <w:style w:type="character" w:customStyle="1" w:styleId="CommentSubjectChar">
    <w:name w:val="Comment Subject Char"/>
    <w:basedOn w:val="CommentTextChar"/>
    <w:link w:val="CommentSubject"/>
    <w:uiPriority w:val="99"/>
    <w:semiHidden/>
    <w:rsid w:val="009C2D7C"/>
    <w:rPr>
      <w:rFonts w:ascii="Tw Cen MT" w:eastAsia="Tw Cen MT" w:hAnsi="Tw Cen MT" w:cs="Tw Cen MT"/>
      <w:b/>
      <w:bCs/>
      <w:sz w:val="20"/>
      <w:szCs w:val="20"/>
    </w:rPr>
  </w:style>
  <w:style w:type="paragraph" w:styleId="Revision">
    <w:name w:val="Revision"/>
    <w:hidden/>
    <w:uiPriority w:val="99"/>
    <w:semiHidden/>
    <w:rsid w:val="0056272F"/>
    <w:pPr>
      <w:widowControl/>
    </w:pPr>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37731587">
      <w:bodyDiv w:val="1"/>
      <w:marLeft w:val="0"/>
      <w:marRight w:val="0"/>
      <w:marTop w:val="0"/>
      <w:marBottom w:val="0"/>
      <w:divBdr>
        <w:top w:val="none" w:sz="0" w:space="0" w:color="auto"/>
        <w:left w:val="none" w:sz="0" w:space="0" w:color="auto"/>
        <w:bottom w:val="none" w:sz="0" w:space="0" w:color="auto"/>
        <w:right w:val="none" w:sz="0" w:space="0" w:color="auto"/>
      </w:divBdr>
    </w:div>
    <w:div w:id="660624225">
      <w:bodyDiv w:val="1"/>
      <w:marLeft w:val="0"/>
      <w:marRight w:val="0"/>
      <w:marTop w:val="0"/>
      <w:marBottom w:val="0"/>
      <w:divBdr>
        <w:top w:val="none" w:sz="0" w:space="0" w:color="auto"/>
        <w:left w:val="none" w:sz="0" w:space="0" w:color="auto"/>
        <w:bottom w:val="none" w:sz="0" w:space="0" w:color="auto"/>
        <w:right w:val="none" w:sz="0" w:space="0" w:color="auto"/>
      </w:divBdr>
      <w:divsChild>
        <w:div w:id="1487895630">
          <w:marLeft w:val="0"/>
          <w:marRight w:val="0"/>
          <w:marTop w:val="0"/>
          <w:marBottom w:val="120"/>
          <w:divBdr>
            <w:top w:val="none" w:sz="0" w:space="0" w:color="auto"/>
            <w:left w:val="none" w:sz="0" w:space="0" w:color="auto"/>
            <w:bottom w:val="none" w:sz="0" w:space="0" w:color="auto"/>
            <w:right w:val="none" w:sz="0" w:space="0" w:color="auto"/>
          </w:divBdr>
        </w:div>
        <w:div w:id="757210146">
          <w:marLeft w:val="0"/>
          <w:marRight w:val="0"/>
          <w:marTop w:val="0"/>
          <w:marBottom w:val="120"/>
          <w:divBdr>
            <w:top w:val="none" w:sz="0" w:space="0" w:color="auto"/>
            <w:left w:val="none" w:sz="0" w:space="0" w:color="auto"/>
            <w:bottom w:val="none" w:sz="0" w:space="0" w:color="auto"/>
            <w:right w:val="none" w:sz="0" w:space="0" w:color="auto"/>
          </w:divBdr>
        </w:div>
        <w:div w:id="1832408930">
          <w:marLeft w:val="0"/>
          <w:marRight w:val="0"/>
          <w:marTop w:val="0"/>
          <w:marBottom w:val="120"/>
          <w:divBdr>
            <w:top w:val="none" w:sz="0" w:space="0" w:color="auto"/>
            <w:left w:val="none" w:sz="0" w:space="0" w:color="auto"/>
            <w:bottom w:val="none" w:sz="0" w:space="0" w:color="auto"/>
            <w:right w:val="none" w:sz="0" w:space="0" w:color="auto"/>
          </w:divBdr>
        </w:div>
        <w:div w:id="1718118220">
          <w:marLeft w:val="0"/>
          <w:marRight w:val="0"/>
          <w:marTop w:val="0"/>
          <w:marBottom w:val="120"/>
          <w:divBdr>
            <w:top w:val="none" w:sz="0" w:space="0" w:color="auto"/>
            <w:left w:val="none" w:sz="0" w:space="0" w:color="auto"/>
            <w:bottom w:val="none" w:sz="0" w:space="0" w:color="auto"/>
            <w:right w:val="none" w:sz="0" w:space="0" w:color="auto"/>
          </w:divBdr>
        </w:div>
        <w:div w:id="579338672">
          <w:marLeft w:val="0"/>
          <w:marRight w:val="0"/>
          <w:marTop w:val="0"/>
          <w:marBottom w:val="120"/>
          <w:divBdr>
            <w:top w:val="none" w:sz="0" w:space="0" w:color="auto"/>
            <w:left w:val="none" w:sz="0" w:space="0" w:color="auto"/>
            <w:bottom w:val="none" w:sz="0" w:space="0" w:color="auto"/>
            <w:right w:val="none" w:sz="0" w:space="0" w:color="auto"/>
          </w:divBdr>
        </w:div>
        <w:div w:id="754403471">
          <w:marLeft w:val="0"/>
          <w:marRight w:val="0"/>
          <w:marTop w:val="0"/>
          <w:marBottom w:val="12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linkedin.com/in/jonathan-aceves-0881421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719</Words>
  <Characters>4102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Jonathan Aceves</cp:lastModifiedBy>
  <cp:revision>21</cp:revision>
  <dcterms:created xsi:type="dcterms:W3CDTF">2023-01-17T17:40:00Z</dcterms:created>
  <dcterms:modified xsi:type="dcterms:W3CDTF">2023-01-18T18:51:00Z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